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E52" w:rsidRPr="00B32E52" w:rsidRDefault="00B32E52" w:rsidP="00B32E52">
      <w:pPr>
        <w:pStyle w:val="Heading1"/>
        <w:rPr>
          <w:rFonts w:asciiTheme="minorHAnsi" w:hAnsiTheme="minorHAnsi"/>
          <w:b/>
        </w:rPr>
      </w:pPr>
      <w:r w:rsidRPr="00B32E52">
        <w:rPr>
          <w:rFonts w:asciiTheme="minorHAnsi" w:hAnsiTheme="minorHAnsi"/>
          <w:b/>
        </w:rPr>
        <w:t>Your Police, Your Views</w:t>
      </w:r>
    </w:p>
    <w:p w:rsidR="00B32E52" w:rsidRDefault="00B32E52" w:rsidP="00B32E52">
      <w:pPr>
        <w:pStyle w:val="Heading3"/>
      </w:pPr>
      <w:r w:rsidRPr="00B32E52">
        <w:rPr>
          <w:rStyle w:val="Heading2Char"/>
        </w:rPr>
        <w:t>Have your say on the funding of policing in Warwickshire</w:t>
      </w:r>
      <w:r>
        <w:br/>
      </w:r>
      <w:r>
        <w:rPr>
          <w:b/>
          <w:bCs/>
          <w:iCs/>
        </w:rPr>
        <w:br/>
        <w:t>An introduction by the Police and Crime Commissioner</w:t>
      </w:r>
    </w:p>
    <w:p w:rsidR="00B32E52" w:rsidRDefault="00B32E52" w:rsidP="00B32E52">
      <w:r>
        <w:t>As your Police and Crime Commissioner, it is my job to set the budget for Warwickshire Police for the next financial year and also ensure support services have the resources they need to help victims of crime across the county.</w:t>
      </w:r>
    </w:p>
    <w:p w:rsidR="00B32E52" w:rsidRDefault="00B32E52" w:rsidP="00B32E52">
      <w:r>
        <w:t>Over the past year, the funds contributed by taxpayers have helped to boost police officer numbers in Warwickshire to their highest ever levels – now topping 1,000 officers. They have also helped me to invest in the transformation of the technology, equipment and buildings which underpin frontline policing.</w:t>
      </w:r>
    </w:p>
    <w:p w:rsidR="00B32E52" w:rsidRDefault="00B32E52" w:rsidP="00B32E52">
      <w:r>
        <w:t>Victims of crime have benefited too, with services remaining available to give tailored help, as and when victims need it. I've also been able to fund programmes to divert people away from crime and others which help to prevent crime and improve community safety.</w:t>
      </w:r>
    </w:p>
    <w:p w:rsidR="00B32E52" w:rsidRDefault="00B32E52" w:rsidP="00B32E52">
      <w:r>
        <w:t>I am keen to protect all of this local investment as much as possible. However, it is impossible to ignore that this has been an unprecedented year, with the coronavirus pandemic having a wide impact on people's lives and damaging the economy. The pressures on public sector funding have never been greater.</w:t>
      </w:r>
    </w:p>
    <w:p w:rsidR="00B32E52" w:rsidRDefault="00B32E52" w:rsidP="00B32E52">
      <w:r>
        <w:t>It’s clear that we cannot spend more money than we have, so tough decisions may be needed locally in order to set a balanced budget. What you tell me through this survey will be vital to informing the decisions that lie ahead, so I thank you for taking the time to complete it.</w:t>
      </w:r>
    </w:p>
    <w:p w:rsidR="00B32E52" w:rsidRDefault="00B32E52" w:rsidP="00B32E52"/>
    <w:p w:rsidR="00B32E52" w:rsidRDefault="00B32E52" w:rsidP="00B32E52">
      <w:pPr>
        <w:rPr>
          <w:b/>
        </w:rPr>
      </w:pPr>
      <w:r>
        <w:rPr>
          <w:b/>
        </w:rPr>
        <w:t>Philip Seccombe</w:t>
      </w:r>
      <w:r>
        <w:rPr>
          <w:b/>
        </w:rPr>
        <w:br/>
        <w:t>Warwickshire Police and Crime Commissioner</w:t>
      </w:r>
    </w:p>
    <w:p w:rsidR="00B32E52" w:rsidRDefault="00B32E52" w:rsidP="00B32E52">
      <w:pPr>
        <w:pStyle w:val="Heading2"/>
      </w:pPr>
      <w:r>
        <w:lastRenderedPageBreak/>
        <w:t>A little bit about you</w:t>
      </w:r>
    </w:p>
    <w:p w:rsidR="00B32E52" w:rsidRDefault="00B32E52" w:rsidP="00B32E52">
      <w:r>
        <w:t xml:space="preserve">Thank you for taking this survey.  It should take around 11 minutes to complete.  Answers provided will remain confidential and are handled in line with our </w:t>
      </w:r>
      <w:hyperlink r:id="rId5">
        <w:r>
          <w:rPr>
            <w:rStyle w:val="Hyperlink"/>
          </w:rPr>
          <w:t>Privacy Notice for Public Consultations</w:t>
        </w:r>
      </w:hyperlink>
      <w:r>
        <w:t>.</w:t>
      </w:r>
    </w:p>
    <w:p w:rsidR="00B32E52" w:rsidRDefault="00B32E52" w:rsidP="00B32E52">
      <w:r>
        <w:t xml:space="preserve">In order to help us ensure that we receive responses from all parts of the county and all sections of society, the first few questions ask for some information about you. </w:t>
      </w:r>
    </w:p>
    <w:p w:rsidR="00B32E52" w:rsidRDefault="00B32E52" w:rsidP="00B32E52"/>
    <w:p w:rsidR="00B32E52" w:rsidRDefault="00B32E52" w:rsidP="00B32E52">
      <w:pPr>
        <w:rPr>
          <w:b/>
        </w:rPr>
      </w:pPr>
      <w:r>
        <w:rPr>
          <w:b/>
        </w:rPr>
        <w:t xml:space="preserve">Q1:  Which area (district or borough) do you live in?  </w:t>
      </w:r>
      <w:r w:rsidRPr="00B32E52">
        <w:rPr>
          <w:i/>
        </w:rPr>
        <w:t>(Please select 1 answer)</w:t>
      </w:r>
    </w:p>
    <w:tbl>
      <w:tblPr>
        <w:tblStyle w:val="TableGrid"/>
        <w:tblW w:w="0" w:type="auto"/>
        <w:tblInd w:w="360" w:type="dxa"/>
        <w:tblLook w:val="04A0" w:firstRow="1" w:lastRow="0" w:firstColumn="1" w:lastColumn="0" w:noHBand="0" w:noVBand="1"/>
      </w:tblPr>
      <w:tblGrid>
        <w:gridCol w:w="1195"/>
        <w:gridCol w:w="7461"/>
      </w:tblGrid>
      <w:tr w:rsidR="00B32E52" w:rsidTr="00B32E52">
        <w:sdt>
          <w:sdtPr>
            <w:id w:val="-1021161969"/>
            <w14:checkbox>
              <w14:checked w14:val="0"/>
              <w14:checkedState w14:val="2612" w14:font="MS Gothic"/>
              <w14:uncheckedState w14:val="2610" w14:font="MS Gothic"/>
            </w14:checkbox>
          </w:sdtPr>
          <w:sdtEndPr/>
          <w:sdtContent>
            <w:tc>
              <w:tcPr>
                <w:tcW w:w="1195" w:type="dxa"/>
              </w:tcPr>
              <w:p w:rsidR="00B32E52" w:rsidRDefault="00B32E52" w:rsidP="00B32E52">
                <w:r>
                  <w:rPr>
                    <w:rFonts w:ascii="MS Gothic" w:eastAsia="MS Gothic" w:hAnsi="MS Gothic" w:hint="eastAsia"/>
                  </w:rPr>
                  <w:t>☐</w:t>
                </w:r>
              </w:p>
            </w:tc>
          </w:sdtContent>
        </w:sdt>
        <w:tc>
          <w:tcPr>
            <w:tcW w:w="7461" w:type="dxa"/>
          </w:tcPr>
          <w:p w:rsidR="00B32E52" w:rsidRDefault="00B32E52" w:rsidP="00B32E52">
            <w:pPr>
              <w:ind w:left="360"/>
            </w:pPr>
            <w:r>
              <w:t>North Warwickshire</w:t>
            </w:r>
          </w:p>
        </w:tc>
      </w:tr>
      <w:tr w:rsidR="00B32E52" w:rsidTr="00B32E52">
        <w:sdt>
          <w:sdtPr>
            <w:id w:val="-501973258"/>
            <w14:checkbox>
              <w14:checked w14:val="0"/>
              <w14:checkedState w14:val="2612" w14:font="MS Gothic"/>
              <w14:uncheckedState w14:val="2610" w14:font="MS Gothic"/>
            </w14:checkbox>
          </w:sdtPr>
          <w:sdtEndPr/>
          <w:sdtContent>
            <w:tc>
              <w:tcPr>
                <w:tcW w:w="1195" w:type="dxa"/>
              </w:tcPr>
              <w:p w:rsidR="00B32E52" w:rsidRDefault="00B32E52" w:rsidP="00B32E52">
                <w:r>
                  <w:rPr>
                    <w:rFonts w:ascii="MS Gothic" w:eastAsia="MS Gothic" w:hAnsi="MS Gothic" w:hint="eastAsia"/>
                  </w:rPr>
                  <w:t>☐</w:t>
                </w:r>
              </w:p>
            </w:tc>
          </w:sdtContent>
        </w:sdt>
        <w:tc>
          <w:tcPr>
            <w:tcW w:w="7461" w:type="dxa"/>
          </w:tcPr>
          <w:p w:rsidR="00B32E52" w:rsidRDefault="00B32E52" w:rsidP="00B32E52">
            <w:pPr>
              <w:ind w:left="360"/>
            </w:pPr>
            <w:r>
              <w:t>Nuneaton and Bedworth</w:t>
            </w:r>
          </w:p>
        </w:tc>
      </w:tr>
      <w:tr w:rsidR="00B32E52" w:rsidTr="00B32E52">
        <w:sdt>
          <w:sdtPr>
            <w:id w:val="170465823"/>
            <w14:checkbox>
              <w14:checked w14:val="0"/>
              <w14:checkedState w14:val="2612" w14:font="MS Gothic"/>
              <w14:uncheckedState w14:val="2610" w14:font="MS Gothic"/>
            </w14:checkbox>
          </w:sdtPr>
          <w:sdtEndPr/>
          <w:sdtContent>
            <w:tc>
              <w:tcPr>
                <w:tcW w:w="1195" w:type="dxa"/>
              </w:tcPr>
              <w:p w:rsidR="00B32E52" w:rsidRDefault="00B32E52" w:rsidP="00B32E52">
                <w:r>
                  <w:rPr>
                    <w:rFonts w:ascii="MS Gothic" w:eastAsia="MS Gothic" w:hAnsi="MS Gothic" w:hint="eastAsia"/>
                  </w:rPr>
                  <w:t>☐</w:t>
                </w:r>
              </w:p>
            </w:tc>
          </w:sdtContent>
        </w:sdt>
        <w:tc>
          <w:tcPr>
            <w:tcW w:w="7461" w:type="dxa"/>
          </w:tcPr>
          <w:p w:rsidR="00B32E52" w:rsidRDefault="00B32E52" w:rsidP="00B32E52">
            <w:pPr>
              <w:ind w:left="360"/>
            </w:pPr>
            <w:r>
              <w:t>Rugby</w:t>
            </w:r>
          </w:p>
        </w:tc>
      </w:tr>
      <w:tr w:rsidR="00B32E52" w:rsidTr="00B32E52">
        <w:sdt>
          <w:sdtPr>
            <w:id w:val="1544939039"/>
            <w14:checkbox>
              <w14:checked w14:val="0"/>
              <w14:checkedState w14:val="2612" w14:font="MS Gothic"/>
              <w14:uncheckedState w14:val="2610" w14:font="MS Gothic"/>
            </w14:checkbox>
          </w:sdtPr>
          <w:sdtEndPr/>
          <w:sdtContent>
            <w:tc>
              <w:tcPr>
                <w:tcW w:w="1195" w:type="dxa"/>
              </w:tcPr>
              <w:p w:rsidR="00B32E52" w:rsidRDefault="00B32E52" w:rsidP="00B32E52">
                <w:r>
                  <w:rPr>
                    <w:rFonts w:ascii="MS Gothic" w:eastAsia="MS Gothic" w:hAnsi="MS Gothic" w:hint="eastAsia"/>
                  </w:rPr>
                  <w:t>☐</w:t>
                </w:r>
              </w:p>
            </w:tc>
          </w:sdtContent>
        </w:sdt>
        <w:tc>
          <w:tcPr>
            <w:tcW w:w="7461" w:type="dxa"/>
          </w:tcPr>
          <w:p w:rsidR="00B32E52" w:rsidRDefault="00B32E52" w:rsidP="00B32E52">
            <w:pPr>
              <w:ind w:left="360"/>
            </w:pPr>
            <w:r>
              <w:t>Stratford-on-Avon</w:t>
            </w:r>
          </w:p>
        </w:tc>
      </w:tr>
      <w:tr w:rsidR="00B32E52" w:rsidTr="00B32E52">
        <w:sdt>
          <w:sdtPr>
            <w:id w:val="-1363742707"/>
            <w14:checkbox>
              <w14:checked w14:val="0"/>
              <w14:checkedState w14:val="2612" w14:font="MS Gothic"/>
              <w14:uncheckedState w14:val="2610" w14:font="MS Gothic"/>
            </w14:checkbox>
          </w:sdtPr>
          <w:sdtEndPr/>
          <w:sdtContent>
            <w:tc>
              <w:tcPr>
                <w:tcW w:w="1195" w:type="dxa"/>
              </w:tcPr>
              <w:p w:rsidR="00B32E52" w:rsidRDefault="00B32E52" w:rsidP="00B32E52">
                <w:r>
                  <w:rPr>
                    <w:rFonts w:ascii="MS Gothic" w:eastAsia="MS Gothic" w:hAnsi="MS Gothic" w:hint="eastAsia"/>
                  </w:rPr>
                  <w:t>☐</w:t>
                </w:r>
              </w:p>
            </w:tc>
          </w:sdtContent>
        </w:sdt>
        <w:tc>
          <w:tcPr>
            <w:tcW w:w="7461" w:type="dxa"/>
          </w:tcPr>
          <w:p w:rsidR="00B32E52" w:rsidRDefault="00B32E52" w:rsidP="00B32E52">
            <w:pPr>
              <w:ind w:left="360"/>
            </w:pPr>
            <w:r>
              <w:t>Warwick</w:t>
            </w:r>
          </w:p>
        </w:tc>
      </w:tr>
      <w:tr w:rsidR="00B32E52" w:rsidTr="00B32E52">
        <w:sdt>
          <w:sdtPr>
            <w:id w:val="-1614509976"/>
            <w14:checkbox>
              <w14:checked w14:val="0"/>
              <w14:checkedState w14:val="2612" w14:font="MS Gothic"/>
              <w14:uncheckedState w14:val="2610" w14:font="MS Gothic"/>
            </w14:checkbox>
          </w:sdtPr>
          <w:sdtEndPr/>
          <w:sdtContent>
            <w:tc>
              <w:tcPr>
                <w:tcW w:w="1195" w:type="dxa"/>
              </w:tcPr>
              <w:p w:rsidR="00B32E52" w:rsidRDefault="00B32E52" w:rsidP="00B32E52">
                <w:r>
                  <w:rPr>
                    <w:rFonts w:ascii="MS Gothic" w:eastAsia="MS Gothic" w:hAnsi="MS Gothic" w:hint="eastAsia"/>
                  </w:rPr>
                  <w:t>☐</w:t>
                </w:r>
              </w:p>
            </w:tc>
          </w:sdtContent>
        </w:sdt>
        <w:tc>
          <w:tcPr>
            <w:tcW w:w="7461" w:type="dxa"/>
          </w:tcPr>
          <w:p w:rsidR="00B32E52" w:rsidRDefault="00B32E52" w:rsidP="00B32E52">
            <w:pPr>
              <w:ind w:left="360"/>
            </w:pPr>
            <w:r>
              <w:t>I’m not sure</w:t>
            </w:r>
          </w:p>
        </w:tc>
      </w:tr>
      <w:tr w:rsidR="00B32E52" w:rsidTr="00B32E52">
        <w:sdt>
          <w:sdtPr>
            <w:id w:val="1843352925"/>
            <w14:checkbox>
              <w14:checked w14:val="0"/>
              <w14:checkedState w14:val="2612" w14:font="MS Gothic"/>
              <w14:uncheckedState w14:val="2610" w14:font="MS Gothic"/>
            </w14:checkbox>
          </w:sdtPr>
          <w:sdtEndPr/>
          <w:sdtContent>
            <w:tc>
              <w:tcPr>
                <w:tcW w:w="1195" w:type="dxa"/>
              </w:tcPr>
              <w:p w:rsidR="00B32E52" w:rsidRDefault="00B32E52" w:rsidP="00B32E52">
                <w:r>
                  <w:rPr>
                    <w:rFonts w:ascii="MS Gothic" w:eastAsia="MS Gothic" w:hAnsi="MS Gothic" w:hint="eastAsia"/>
                  </w:rPr>
                  <w:t>☐</w:t>
                </w:r>
              </w:p>
            </w:tc>
          </w:sdtContent>
        </w:sdt>
        <w:tc>
          <w:tcPr>
            <w:tcW w:w="7461" w:type="dxa"/>
          </w:tcPr>
          <w:p w:rsidR="00B32E52" w:rsidRDefault="00B32E52" w:rsidP="00B32E52">
            <w:pPr>
              <w:ind w:left="360"/>
            </w:pPr>
            <w:r>
              <w:t>I don’t live in Warwickshire</w:t>
            </w:r>
          </w:p>
        </w:tc>
      </w:tr>
      <w:tr w:rsidR="00B32E52" w:rsidTr="00B32E52">
        <w:sdt>
          <w:sdtPr>
            <w:id w:val="662055799"/>
            <w14:checkbox>
              <w14:checked w14:val="0"/>
              <w14:checkedState w14:val="2612" w14:font="MS Gothic"/>
              <w14:uncheckedState w14:val="2610" w14:font="MS Gothic"/>
            </w14:checkbox>
          </w:sdtPr>
          <w:sdtEndPr/>
          <w:sdtContent>
            <w:tc>
              <w:tcPr>
                <w:tcW w:w="1195" w:type="dxa"/>
              </w:tcPr>
              <w:p w:rsidR="00B32E52" w:rsidRDefault="00B32E52" w:rsidP="00B32E52">
                <w:r>
                  <w:rPr>
                    <w:rFonts w:ascii="MS Gothic" w:eastAsia="MS Gothic" w:hAnsi="MS Gothic" w:hint="eastAsia"/>
                  </w:rPr>
                  <w:t>☐</w:t>
                </w:r>
              </w:p>
            </w:tc>
          </w:sdtContent>
        </w:sdt>
        <w:tc>
          <w:tcPr>
            <w:tcW w:w="7461" w:type="dxa"/>
          </w:tcPr>
          <w:p w:rsidR="00B32E52" w:rsidRDefault="00B32E52" w:rsidP="00B32E52">
            <w:pPr>
              <w:ind w:left="360"/>
            </w:pPr>
            <w:r>
              <w:t>I don’t live in Warwickshire but I work within the county</w:t>
            </w:r>
          </w:p>
        </w:tc>
      </w:tr>
    </w:tbl>
    <w:p w:rsidR="00B32E52" w:rsidRDefault="00B32E52" w:rsidP="00B32E52">
      <w:pPr>
        <w:ind w:left="360"/>
      </w:pPr>
    </w:p>
    <w:p w:rsidR="00B32E52" w:rsidRDefault="00B32E52" w:rsidP="00B32E52">
      <w:pPr>
        <w:rPr>
          <w:b/>
        </w:rPr>
      </w:pPr>
      <w:r>
        <w:rPr>
          <w:b/>
        </w:rPr>
        <w:t xml:space="preserve">Q2. What age group are you in? </w:t>
      </w:r>
      <w:r w:rsidRPr="00B32E52">
        <w:rPr>
          <w:i/>
        </w:rPr>
        <w:t>(Please select 1 answer)</w:t>
      </w:r>
    </w:p>
    <w:tbl>
      <w:tblPr>
        <w:tblStyle w:val="TableGrid"/>
        <w:tblW w:w="0" w:type="auto"/>
        <w:tblInd w:w="360" w:type="dxa"/>
        <w:tblLook w:val="04A0" w:firstRow="1" w:lastRow="0" w:firstColumn="1" w:lastColumn="0" w:noHBand="0" w:noVBand="1"/>
      </w:tblPr>
      <w:tblGrid>
        <w:gridCol w:w="1195"/>
        <w:gridCol w:w="7461"/>
      </w:tblGrid>
      <w:tr w:rsidR="00B32E52" w:rsidTr="004C3F66">
        <w:sdt>
          <w:sdtPr>
            <w:id w:val="111873245"/>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pPr>
              <w:ind w:left="360"/>
            </w:pPr>
            <w:r>
              <w:t>Under 18</w:t>
            </w:r>
          </w:p>
        </w:tc>
      </w:tr>
      <w:tr w:rsidR="00B32E52" w:rsidTr="004C3F66">
        <w:sdt>
          <w:sdtPr>
            <w:id w:val="-688918854"/>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pPr>
              <w:ind w:left="360"/>
            </w:pPr>
            <w:r>
              <w:t>18-24</w:t>
            </w:r>
          </w:p>
        </w:tc>
      </w:tr>
      <w:tr w:rsidR="00B32E52" w:rsidTr="004C3F66">
        <w:sdt>
          <w:sdtPr>
            <w:id w:val="-1325350095"/>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25-34</w:t>
            </w:r>
          </w:p>
        </w:tc>
      </w:tr>
      <w:tr w:rsidR="00B32E52" w:rsidTr="004C3F66">
        <w:sdt>
          <w:sdtPr>
            <w:id w:val="-1487779119"/>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35-44</w:t>
            </w:r>
          </w:p>
        </w:tc>
      </w:tr>
      <w:tr w:rsidR="00B32E52" w:rsidTr="004C3F66">
        <w:sdt>
          <w:sdtPr>
            <w:id w:val="-1910602200"/>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45-54</w:t>
            </w:r>
          </w:p>
        </w:tc>
      </w:tr>
      <w:tr w:rsidR="00B32E52" w:rsidTr="004C3F66">
        <w:sdt>
          <w:sdtPr>
            <w:id w:val="50193766"/>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55-64</w:t>
            </w:r>
          </w:p>
        </w:tc>
      </w:tr>
      <w:tr w:rsidR="00B32E52" w:rsidTr="004C3F66">
        <w:sdt>
          <w:sdtPr>
            <w:id w:val="-345863896"/>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65+</w:t>
            </w:r>
          </w:p>
        </w:tc>
      </w:tr>
    </w:tbl>
    <w:p w:rsidR="00B32E52" w:rsidRDefault="00B32E52" w:rsidP="00B32E52">
      <w:pPr>
        <w:rPr>
          <w:b/>
        </w:rPr>
      </w:pPr>
    </w:p>
    <w:p w:rsidR="00B32E52" w:rsidRDefault="00B32E52" w:rsidP="00B32E52">
      <w:pPr>
        <w:rPr>
          <w:b/>
        </w:rPr>
      </w:pPr>
      <w:r>
        <w:rPr>
          <w:b/>
        </w:rPr>
        <w:t xml:space="preserve">Q3: Gender: how do you identify? </w:t>
      </w:r>
      <w:r w:rsidRPr="00B32E52">
        <w:rPr>
          <w:i/>
        </w:rPr>
        <w:t>(Please select 1 answer)</w:t>
      </w:r>
    </w:p>
    <w:tbl>
      <w:tblPr>
        <w:tblStyle w:val="TableGrid"/>
        <w:tblW w:w="0" w:type="auto"/>
        <w:tblInd w:w="360" w:type="dxa"/>
        <w:tblLook w:val="04A0" w:firstRow="1" w:lastRow="0" w:firstColumn="1" w:lastColumn="0" w:noHBand="0" w:noVBand="1"/>
      </w:tblPr>
      <w:tblGrid>
        <w:gridCol w:w="1195"/>
        <w:gridCol w:w="7461"/>
      </w:tblGrid>
      <w:tr w:rsidR="00B32E52" w:rsidTr="004C3F66">
        <w:sdt>
          <w:sdtPr>
            <w:id w:val="1210224804"/>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pPr>
              <w:ind w:left="360"/>
            </w:pPr>
            <w:r>
              <w:t>Male</w:t>
            </w:r>
          </w:p>
        </w:tc>
      </w:tr>
      <w:tr w:rsidR="00B32E52" w:rsidTr="004C3F66">
        <w:sdt>
          <w:sdtPr>
            <w:id w:val="1399560203"/>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Female</w:t>
            </w:r>
          </w:p>
        </w:tc>
      </w:tr>
      <w:tr w:rsidR="00B32E52" w:rsidTr="004C3F66">
        <w:sdt>
          <w:sdtPr>
            <w:id w:val="1004021071"/>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pPr>
              <w:ind w:left="360"/>
            </w:pPr>
            <w:r>
              <w:t>Non-binary</w:t>
            </w:r>
          </w:p>
        </w:tc>
      </w:tr>
      <w:tr w:rsidR="00B32E52" w:rsidTr="00B32E52">
        <w:trPr>
          <w:trHeight w:val="308"/>
        </w:trPr>
        <w:sdt>
          <w:sdtPr>
            <w:id w:val="-2052143020"/>
            <w14:checkbox>
              <w14:checked w14:val="0"/>
              <w14:checkedState w14:val="2612" w14:font="MS Gothic"/>
              <w14:uncheckedState w14:val="2610" w14:font="MS Gothic"/>
            </w14:checkbox>
          </w:sdtPr>
          <w:sdtEndPr/>
          <w:sdtContent>
            <w:tc>
              <w:tcPr>
                <w:tcW w:w="1195" w:type="dxa"/>
                <w:vMerge w:val="restart"/>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Prefer  to self-describe (state below)</w:t>
            </w:r>
          </w:p>
        </w:tc>
      </w:tr>
      <w:tr w:rsidR="00B32E52" w:rsidTr="004C3F66">
        <w:trPr>
          <w:trHeight w:val="307"/>
        </w:trPr>
        <w:tc>
          <w:tcPr>
            <w:tcW w:w="1195" w:type="dxa"/>
            <w:vMerge/>
          </w:tcPr>
          <w:p w:rsidR="00B32E52" w:rsidRDefault="00B32E52" w:rsidP="004C3F66"/>
        </w:tc>
        <w:tc>
          <w:tcPr>
            <w:tcW w:w="7461" w:type="dxa"/>
          </w:tcPr>
          <w:p w:rsidR="00B32E52" w:rsidRDefault="00B32E52" w:rsidP="004C3F66">
            <w:pPr>
              <w:ind w:left="360"/>
            </w:pPr>
          </w:p>
        </w:tc>
      </w:tr>
    </w:tbl>
    <w:p w:rsidR="00B32E52" w:rsidRDefault="00B32E52" w:rsidP="00B32E52">
      <w:pPr>
        <w:rPr>
          <w:b/>
        </w:rPr>
      </w:pPr>
    </w:p>
    <w:p w:rsidR="00B32E52" w:rsidRDefault="00B32E52" w:rsidP="00B32E52">
      <w:pPr>
        <w:rPr>
          <w:b/>
        </w:rPr>
      </w:pPr>
      <w:r>
        <w:rPr>
          <w:b/>
        </w:rPr>
        <w:t xml:space="preserve">Q4: Do you currently pay Council Tax? </w:t>
      </w:r>
      <w:r w:rsidRPr="00B32E52">
        <w:rPr>
          <w:i/>
        </w:rPr>
        <w:t>(Please select 1 answer)</w:t>
      </w:r>
    </w:p>
    <w:tbl>
      <w:tblPr>
        <w:tblStyle w:val="TableGrid"/>
        <w:tblW w:w="0" w:type="auto"/>
        <w:tblInd w:w="360" w:type="dxa"/>
        <w:tblLook w:val="04A0" w:firstRow="1" w:lastRow="0" w:firstColumn="1" w:lastColumn="0" w:noHBand="0" w:noVBand="1"/>
      </w:tblPr>
      <w:tblGrid>
        <w:gridCol w:w="1195"/>
        <w:gridCol w:w="7461"/>
      </w:tblGrid>
      <w:tr w:rsidR="00B32E52" w:rsidTr="004C3F66">
        <w:sdt>
          <w:sdtPr>
            <w:id w:val="-597714362"/>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Yes</w:t>
            </w:r>
          </w:p>
        </w:tc>
      </w:tr>
      <w:tr w:rsidR="00B32E52" w:rsidTr="004C3F66">
        <w:sdt>
          <w:sdtPr>
            <w:id w:val="-781645203"/>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r>
              <w:t xml:space="preserve">      No – I am exempt from paying Council Tax</w:t>
            </w:r>
          </w:p>
        </w:tc>
      </w:tr>
      <w:tr w:rsidR="00B32E52" w:rsidTr="004C3F66">
        <w:sdt>
          <w:sdtPr>
            <w:id w:val="881058482"/>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pPr>
              <w:ind w:left="360"/>
            </w:pPr>
            <w:r>
              <w:t>No – I am under 18</w:t>
            </w:r>
          </w:p>
        </w:tc>
      </w:tr>
      <w:tr w:rsidR="00B32E52" w:rsidTr="004C3F66">
        <w:sdt>
          <w:sdtPr>
            <w:id w:val="1126662623"/>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I don’t know</w:t>
            </w:r>
          </w:p>
        </w:tc>
      </w:tr>
    </w:tbl>
    <w:p w:rsidR="00B32E52" w:rsidRDefault="00B32E52" w:rsidP="00B32E52">
      <w:pPr>
        <w:rPr>
          <w:b/>
        </w:rPr>
      </w:pPr>
    </w:p>
    <w:p w:rsidR="00B32E52" w:rsidRDefault="00B32E52" w:rsidP="00B32E52">
      <w:pPr>
        <w:rPr>
          <w:b/>
        </w:rPr>
      </w:pPr>
      <w:r>
        <w:rPr>
          <w:b/>
        </w:rPr>
        <w:t xml:space="preserve">Q5: Do you work or volunteer within policing? </w:t>
      </w:r>
      <w:r w:rsidRPr="00B32E52">
        <w:rPr>
          <w:i/>
        </w:rPr>
        <w:t>(Please select 1 answer)</w:t>
      </w:r>
    </w:p>
    <w:tbl>
      <w:tblPr>
        <w:tblStyle w:val="TableGrid"/>
        <w:tblW w:w="0" w:type="auto"/>
        <w:tblInd w:w="360" w:type="dxa"/>
        <w:tblLook w:val="04A0" w:firstRow="1" w:lastRow="0" w:firstColumn="1" w:lastColumn="0" w:noHBand="0" w:noVBand="1"/>
      </w:tblPr>
      <w:tblGrid>
        <w:gridCol w:w="1195"/>
        <w:gridCol w:w="7461"/>
      </w:tblGrid>
      <w:tr w:rsidR="00B32E52" w:rsidTr="004C3F66">
        <w:sdt>
          <w:sdtPr>
            <w:id w:val="663352606"/>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pPr>
              <w:ind w:left="360"/>
            </w:pPr>
            <w:r>
              <w:t>Yes</w:t>
            </w:r>
          </w:p>
        </w:tc>
      </w:tr>
      <w:tr w:rsidR="00B32E52" w:rsidTr="004C3F66">
        <w:sdt>
          <w:sdtPr>
            <w:id w:val="-177738100"/>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4C3F66">
            <w:r>
              <w:t xml:space="preserve">      No</w:t>
            </w:r>
          </w:p>
        </w:tc>
      </w:tr>
    </w:tbl>
    <w:p w:rsidR="00B32E52" w:rsidRDefault="00B32E52" w:rsidP="00B32E52"/>
    <w:p w:rsidR="004D1F55" w:rsidRDefault="004D1F55">
      <w:pPr>
        <w:suppressAutoHyphens w:val="0"/>
        <w:spacing w:after="160" w:line="259" w:lineRule="auto"/>
        <w:rPr>
          <w:rFonts w:eastAsiaTheme="majorEastAsia" w:cstheme="majorBidi"/>
          <w:b/>
          <w:i/>
          <w:color w:val="1F4D78" w:themeColor="accent1" w:themeShade="7F"/>
        </w:rPr>
      </w:pPr>
      <w:r>
        <w:br w:type="page"/>
      </w:r>
    </w:p>
    <w:p w:rsidR="00B32E52" w:rsidRDefault="00B32E52" w:rsidP="00B32E52">
      <w:pPr>
        <w:pStyle w:val="Heading2"/>
      </w:pPr>
      <w:r>
        <w:lastRenderedPageBreak/>
        <w:t>Policing in your area</w:t>
      </w:r>
    </w:p>
    <w:p w:rsidR="00B32E52" w:rsidRDefault="00B32E52" w:rsidP="00B32E52">
      <w:r>
        <w:t>The following questions seek to understand your priorities for policing locally.</w:t>
      </w:r>
    </w:p>
    <w:p w:rsidR="00B32E52" w:rsidRDefault="00B32E52" w:rsidP="00B32E52">
      <w:pPr>
        <w:rPr>
          <w:b/>
        </w:rPr>
      </w:pPr>
      <w:r>
        <w:rPr>
          <w:b/>
        </w:rPr>
        <w:t xml:space="preserve">Q6: Where do you think policing needs greater investment?  </w:t>
      </w:r>
      <w:r w:rsidR="00C757B6" w:rsidRPr="00C757B6">
        <w:rPr>
          <w:i/>
        </w:rPr>
        <w:t>(</w:t>
      </w:r>
      <w:r w:rsidRPr="00C757B6">
        <w:rPr>
          <w:i/>
        </w:rPr>
        <w:t xml:space="preserve">Please select a maximum of three </w:t>
      </w:r>
      <w:r w:rsidR="00C757B6" w:rsidRPr="00C757B6">
        <w:rPr>
          <w:i/>
        </w:rPr>
        <w:t xml:space="preserve">answers </w:t>
      </w:r>
      <w:r w:rsidRPr="00C757B6">
        <w:rPr>
          <w:i/>
        </w:rPr>
        <w:t>from the following options</w:t>
      </w:r>
      <w:r w:rsidR="00C757B6" w:rsidRPr="00C757B6">
        <w:rPr>
          <w:i/>
        </w:rPr>
        <w:t>)</w:t>
      </w:r>
    </w:p>
    <w:tbl>
      <w:tblPr>
        <w:tblStyle w:val="TableGrid"/>
        <w:tblW w:w="0" w:type="auto"/>
        <w:tblInd w:w="360" w:type="dxa"/>
        <w:tblLook w:val="04A0" w:firstRow="1" w:lastRow="0" w:firstColumn="1" w:lastColumn="0" w:noHBand="0" w:noVBand="1"/>
      </w:tblPr>
      <w:tblGrid>
        <w:gridCol w:w="1195"/>
        <w:gridCol w:w="7461"/>
      </w:tblGrid>
      <w:tr w:rsidR="00B32E52" w:rsidTr="004C3F66">
        <w:sdt>
          <w:sdtPr>
            <w:id w:val="-1006132107"/>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pPr>
              <w:ind w:left="360"/>
            </w:pPr>
            <w:r>
              <w:t>On the street where I live</w:t>
            </w:r>
          </w:p>
        </w:tc>
      </w:tr>
      <w:tr w:rsidR="00B32E52" w:rsidTr="004C3F66">
        <w:sdt>
          <w:sdtPr>
            <w:id w:val="2078017793"/>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pPr>
              <w:ind w:left="360"/>
            </w:pPr>
            <w:r>
              <w:t>In our rural areas</w:t>
            </w:r>
          </w:p>
        </w:tc>
      </w:tr>
      <w:tr w:rsidR="00B32E52" w:rsidTr="004C3F66">
        <w:sdt>
          <w:sdtPr>
            <w:id w:val="-1257519153"/>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pPr>
              <w:ind w:left="360"/>
            </w:pPr>
            <w:r>
              <w:t>In our town centres</w:t>
            </w:r>
          </w:p>
        </w:tc>
      </w:tr>
      <w:tr w:rsidR="00B32E52" w:rsidTr="004C3F66">
        <w:sdt>
          <w:sdtPr>
            <w:id w:val="-1002120631"/>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Default="00B32E52" w:rsidP="00B32E52">
            <w:pPr>
              <w:ind w:left="360"/>
            </w:pPr>
            <w:r>
              <w:t>On our roads</w:t>
            </w:r>
          </w:p>
        </w:tc>
      </w:tr>
      <w:tr w:rsidR="00B32E52" w:rsidTr="004C3F66">
        <w:sdt>
          <w:sdtPr>
            <w:id w:val="-1903362907"/>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Pr="00B32E52" w:rsidRDefault="00B32E52" w:rsidP="00B32E52">
            <w:pPr>
              <w:ind w:left="360"/>
              <w:rPr>
                <w:color w:val="000000" w:themeColor="text1"/>
              </w:rPr>
            </w:pPr>
            <w:r w:rsidRPr="00B32E52">
              <w:rPr>
                <w:color w:val="000000" w:themeColor="text1"/>
              </w:rPr>
              <w:t xml:space="preserve">On the internet tackling cyber enabled crime </w:t>
            </w:r>
          </w:p>
        </w:tc>
      </w:tr>
      <w:tr w:rsidR="00B32E52" w:rsidTr="004C3F66">
        <w:sdt>
          <w:sdtPr>
            <w:id w:val="-1283566667"/>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Pr="00B32E52" w:rsidRDefault="00B32E52" w:rsidP="00B32E52">
            <w:pPr>
              <w:ind w:left="360"/>
              <w:rPr>
                <w:color w:val="000000" w:themeColor="text1"/>
              </w:rPr>
            </w:pPr>
            <w:r w:rsidRPr="00B32E52">
              <w:rPr>
                <w:color w:val="000000" w:themeColor="text1"/>
              </w:rPr>
              <w:t>Preventing crime</w:t>
            </w:r>
          </w:p>
        </w:tc>
      </w:tr>
      <w:tr w:rsidR="00B32E52" w:rsidTr="004C3F66">
        <w:sdt>
          <w:sdtPr>
            <w:id w:val="-1816408677"/>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Pr="00B32E52" w:rsidRDefault="00B32E52" w:rsidP="00B32E52">
            <w:pPr>
              <w:ind w:left="360"/>
              <w:rPr>
                <w:color w:val="000000" w:themeColor="text1"/>
              </w:rPr>
            </w:pPr>
            <w:r w:rsidRPr="00B32E52">
              <w:rPr>
                <w:color w:val="000000" w:themeColor="text1"/>
              </w:rPr>
              <w:t>Investigating crime and bringing people to justice</w:t>
            </w:r>
          </w:p>
        </w:tc>
      </w:tr>
      <w:tr w:rsidR="00B32E52" w:rsidTr="004C3F66">
        <w:sdt>
          <w:sdtPr>
            <w:id w:val="349387350"/>
            <w14:checkbox>
              <w14:checked w14:val="0"/>
              <w14:checkedState w14:val="2612" w14:font="MS Gothic"/>
              <w14:uncheckedState w14:val="2610" w14:font="MS Gothic"/>
            </w14:checkbox>
          </w:sdtPr>
          <w:sdtEndPr/>
          <w:sdtContent>
            <w:tc>
              <w:tcPr>
                <w:tcW w:w="1195" w:type="dxa"/>
              </w:tcPr>
              <w:p w:rsidR="00B32E52" w:rsidRDefault="00B32E52" w:rsidP="004C3F66">
                <w:r>
                  <w:rPr>
                    <w:rFonts w:ascii="MS Gothic" w:eastAsia="MS Gothic" w:hAnsi="MS Gothic" w:hint="eastAsia"/>
                  </w:rPr>
                  <w:t>☐</w:t>
                </w:r>
              </w:p>
            </w:tc>
          </w:sdtContent>
        </w:sdt>
        <w:tc>
          <w:tcPr>
            <w:tcW w:w="7461" w:type="dxa"/>
          </w:tcPr>
          <w:p w:rsidR="00B32E52" w:rsidRPr="00B32E52" w:rsidRDefault="00B32E52" w:rsidP="00B32E52">
            <w:pPr>
              <w:ind w:left="360"/>
              <w:rPr>
                <w:color w:val="000000" w:themeColor="text1"/>
              </w:rPr>
            </w:pPr>
            <w:r w:rsidRPr="00B32E52">
              <w:rPr>
                <w:color w:val="000000" w:themeColor="text1"/>
              </w:rPr>
              <w:t>Protecting vulnerable people</w:t>
            </w:r>
          </w:p>
        </w:tc>
      </w:tr>
    </w:tbl>
    <w:p w:rsidR="00B32E52" w:rsidRDefault="00B32E52" w:rsidP="004D1F55"/>
    <w:p w:rsidR="00B32E52" w:rsidRDefault="00B32E52" w:rsidP="00B32E52">
      <w:pPr>
        <w:rPr>
          <w:i/>
        </w:rPr>
      </w:pPr>
      <w:r>
        <w:rPr>
          <w:b/>
        </w:rPr>
        <w:t xml:space="preserve">Q7: Which of the following national policing priorities need addressing in your local community? </w:t>
      </w:r>
      <w:r w:rsidR="00C757B6" w:rsidRPr="00C757B6">
        <w:rPr>
          <w:i/>
        </w:rPr>
        <w:t>(Please select a maximum of three answers from the following options)</w:t>
      </w:r>
    </w:p>
    <w:tbl>
      <w:tblPr>
        <w:tblStyle w:val="TableGrid"/>
        <w:tblW w:w="0" w:type="auto"/>
        <w:tblInd w:w="360" w:type="dxa"/>
        <w:tblLook w:val="04A0" w:firstRow="1" w:lastRow="0" w:firstColumn="1" w:lastColumn="0" w:noHBand="0" w:noVBand="1"/>
      </w:tblPr>
      <w:tblGrid>
        <w:gridCol w:w="1195"/>
        <w:gridCol w:w="7461"/>
      </w:tblGrid>
      <w:tr w:rsidR="004D1F55" w:rsidTr="004C3F66">
        <w:sdt>
          <w:sdtPr>
            <w:id w:val="1475865865"/>
            <w14:checkbox>
              <w14:checked w14:val="0"/>
              <w14:checkedState w14:val="2612" w14:font="MS Gothic"/>
              <w14:uncheckedState w14:val="2610" w14:font="MS Gothic"/>
            </w14:checkbox>
          </w:sdtPr>
          <w:sdtEndPr/>
          <w:sdtContent>
            <w:tc>
              <w:tcPr>
                <w:tcW w:w="1195" w:type="dxa"/>
              </w:tcPr>
              <w:p w:rsidR="004D1F55" w:rsidRDefault="004D1F55" w:rsidP="004C3F66">
                <w:r>
                  <w:rPr>
                    <w:rFonts w:ascii="MS Gothic" w:eastAsia="MS Gothic" w:hAnsi="MS Gothic" w:hint="eastAsia"/>
                  </w:rPr>
                  <w:t>☐</w:t>
                </w:r>
              </w:p>
            </w:tc>
          </w:sdtContent>
        </w:sdt>
        <w:tc>
          <w:tcPr>
            <w:tcW w:w="7461" w:type="dxa"/>
          </w:tcPr>
          <w:p w:rsidR="004D1F55" w:rsidRDefault="004D1F55" w:rsidP="004D1F55">
            <w:pPr>
              <w:ind w:left="360"/>
            </w:pPr>
            <w:r>
              <w:t>Reducing murder and homicide</w:t>
            </w:r>
          </w:p>
        </w:tc>
      </w:tr>
      <w:tr w:rsidR="004D1F55" w:rsidTr="004C3F66">
        <w:sdt>
          <w:sdtPr>
            <w:id w:val="-310636976"/>
            <w14:checkbox>
              <w14:checked w14:val="0"/>
              <w14:checkedState w14:val="2612" w14:font="MS Gothic"/>
              <w14:uncheckedState w14:val="2610" w14:font="MS Gothic"/>
            </w14:checkbox>
          </w:sdtPr>
          <w:sdtEndPr/>
          <w:sdtContent>
            <w:tc>
              <w:tcPr>
                <w:tcW w:w="1195" w:type="dxa"/>
              </w:tcPr>
              <w:p w:rsidR="004D1F55" w:rsidRDefault="004D1F55" w:rsidP="004C3F66">
                <w:r>
                  <w:rPr>
                    <w:rFonts w:ascii="MS Gothic" w:eastAsia="MS Gothic" w:hAnsi="MS Gothic" w:hint="eastAsia"/>
                  </w:rPr>
                  <w:t>☐</w:t>
                </w:r>
              </w:p>
            </w:tc>
          </w:sdtContent>
        </w:sdt>
        <w:tc>
          <w:tcPr>
            <w:tcW w:w="7461" w:type="dxa"/>
          </w:tcPr>
          <w:p w:rsidR="004D1F55" w:rsidRDefault="004D1F55" w:rsidP="004D1F55">
            <w:pPr>
              <w:ind w:left="360"/>
            </w:pPr>
            <w:r>
              <w:t>Reducing serious violence (including knife and gun crime)</w:t>
            </w:r>
          </w:p>
        </w:tc>
      </w:tr>
      <w:tr w:rsidR="004D1F55" w:rsidTr="004C3F66">
        <w:sdt>
          <w:sdtPr>
            <w:id w:val="1738588196"/>
            <w14:checkbox>
              <w14:checked w14:val="0"/>
              <w14:checkedState w14:val="2612" w14:font="MS Gothic"/>
              <w14:uncheckedState w14:val="2610" w14:font="MS Gothic"/>
            </w14:checkbox>
          </w:sdtPr>
          <w:sdtEndPr/>
          <w:sdtContent>
            <w:tc>
              <w:tcPr>
                <w:tcW w:w="1195" w:type="dxa"/>
              </w:tcPr>
              <w:p w:rsidR="004D1F55" w:rsidRDefault="004D1F55" w:rsidP="004C3F66">
                <w:r>
                  <w:rPr>
                    <w:rFonts w:ascii="MS Gothic" w:eastAsia="MS Gothic" w:hAnsi="MS Gothic" w:hint="eastAsia"/>
                  </w:rPr>
                  <w:t>☐</w:t>
                </w:r>
              </w:p>
            </w:tc>
          </w:sdtContent>
        </w:sdt>
        <w:tc>
          <w:tcPr>
            <w:tcW w:w="7461" w:type="dxa"/>
          </w:tcPr>
          <w:p w:rsidR="004D1F55" w:rsidRDefault="004D1F55" w:rsidP="004D1F55">
            <w:pPr>
              <w:ind w:left="360"/>
            </w:pPr>
            <w:r>
              <w:t>Disrupting drug supply</w:t>
            </w:r>
          </w:p>
        </w:tc>
      </w:tr>
      <w:tr w:rsidR="004D1F55" w:rsidTr="004C3F66">
        <w:sdt>
          <w:sdtPr>
            <w:id w:val="2014639227"/>
            <w14:checkbox>
              <w14:checked w14:val="0"/>
              <w14:checkedState w14:val="2612" w14:font="MS Gothic"/>
              <w14:uncheckedState w14:val="2610" w14:font="MS Gothic"/>
            </w14:checkbox>
          </w:sdtPr>
          <w:sdtEndPr/>
          <w:sdtContent>
            <w:tc>
              <w:tcPr>
                <w:tcW w:w="1195" w:type="dxa"/>
              </w:tcPr>
              <w:p w:rsidR="004D1F55" w:rsidRDefault="004D1F55" w:rsidP="004C3F66">
                <w:r>
                  <w:rPr>
                    <w:rFonts w:ascii="MS Gothic" w:eastAsia="MS Gothic" w:hAnsi="MS Gothic" w:hint="eastAsia"/>
                  </w:rPr>
                  <w:t>☐</w:t>
                </w:r>
              </w:p>
            </w:tc>
          </w:sdtContent>
        </w:sdt>
        <w:tc>
          <w:tcPr>
            <w:tcW w:w="7461" w:type="dxa"/>
          </w:tcPr>
          <w:p w:rsidR="004D1F55" w:rsidRDefault="004D1F55" w:rsidP="004D1F55">
            <w:pPr>
              <w:ind w:left="360"/>
            </w:pPr>
            <w:r>
              <w:t>Reducing neighbourhood crime (burglary, robbery, vehicle theft, personal theft)</w:t>
            </w:r>
          </w:p>
        </w:tc>
      </w:tr>
      <w:tr w:rsidR="004D1F55" w:rsidRPr="00B32E52" w:rsidTr="004C3F66">
        <w:sdt>
          <w:sdtPr>
            <w:id w:val="-2074721472"/>
            <w14:checkbox>
              <w14:checked w14:val="0"/>
              <w14:checkedState w14:val="2612" w14:font="MS Gothic"/>
              <w14:uncheckedState w14:val="2610" w14:font="MS Gothic"/>
            </w14:checkbox>
          </w:sdtPr>
          <w:sdtEndPr/>
          <w:sdtContent>
            <w:tc>
              <w:tcPr>
                <w:tcW w:w="1195" w:type="dxa"/>
              </w:tcPr>
              <w:p w:rsidR="004D1F55" w:rsidRDefault="004D1F55" w:rsidP="004C3F66">
                <w:r>
                  <w:rPr>
                    <w:rFonts w:ascii="MS Gothic" w:eastAsia="MS Gothic" w:hAnsi="MS Gothic" w:hint="eastAsia"/>
                  </w:rPr>
                  <w:t>☐</w:t>
                </w:r>
              </w:p>
            </w:tc>
          </w:sdtContent>
        </w:sdt>
        <w:tc>
          <w:tcPr>
            <w:tcW w:w="7461" w:type="dxa"/>
          </w:tcPr>
          <w:p w:rsidR="004D1F55" w:rsidRPr="004D1F55" w:rsidRDefault="004D1F55" w:rsidP="004D1F55">
            <w:pPr>
              <w:ind w:left="360"/>
            </w:pPr>
            <w:r>
              <w:t>Improving victim satisfaction, with a focus on survivors of domestic abuse</w:t>
            </w:r>
          </w:p>
        </w:tc>
      </w:tr>
      <w:tr w:rsidR="004D1F55" w:rsidRPr="00B32E52" w:rsidTr="004C3F66">
        <w:sdt>
          <w:sdtPr>
            <w:id w:val="933179380"/>
            <w14:checkbox>
              <w14:checked w14:val="0"/>
              <w14:checkedState w14:val="2612" w14:font="MS Gothic"/>
              <w14:uncheckedState w14:val="2610" w14:font="MS Gothic"/>
            </w14:checkbox>
          </w:sdtPr>
          <w:sdtEndPr/>
          <w:sdtContent>
            <w:tc>
              <w:tcPr>
                <w:tcW w:w="1195" w:type="dxa"/>
              </w:tcPr>
              <w:p w:rsidR="004D1F55" w:rsidRDefault="004D1F55" w:rsidP="004C3F66">
                <w:r>
                  <w:rPr>
                    <w:rFonts w:ascii="MS Gothic" w:eastAsia="MS Gothic" w:hAnsi="MS Gothic" w:hint="eastAsia"/>
                  </w:rPr>
                  <w:t>☐</w:t>
                </w:r>
              </w:p>
            </w:tc>
          </w:sdtContent>
        </w:sdt>
        <w:tc>
          <w:tcPr>
            <w:tcW w:w="7461" w:type="dxa"/>
          </w:tcPr>
          <w:p w:rsidR="004D1F55" w:rsidRPr="004D1F55" w:rsidRDefault="004D1F55" w:rsidP="004D1F55">
            <w:pPr>
              <w:ind w:left="360"/>
            </w:pPr>
            <w:r>
              <w:t>Tackling cyber crime</w:t>
            </w:r>
          </w:p>
        </w:tc>
      </w:tr>
    </w:tbl>
    <w:p w:rsidR="004D1F55" w:rsidRDefault="004D1F55" w:rsidP="00B32E52">
      <w:pPr>
        <w:rPr>
          <w:b/>
        </w:rPr>
      </w:pPr>
    </w:p>
    <w:p w:rsidR="00B32E52" w:rsidRDefault="00B32E52" w:rsidP="00B32E52">
      <w:pPr>
        <w:rPr>
          <w:b/>
        </w:rPr>
      </w:pPr>
      <w:r>
        <w:rPr>
          <w:noProof/>
          <w:lang w:eastAsia="en-GB"/>
        </w:rPr>
        <w:lastRenderedPageBreak/>
        <mc:AlternateContent>
          <mc:Choice Requires="wps">
            <w:drawing>
              <wp:anchor distT="45720" distB="45720" distL="114300" distR="114300" simplePos="0" relativeHeight="251661312" behindDoc="0" locked="0" layoutInCell="0" allowOverlap="1" wp14:anchorId="24957F13" wp14:editId="1638D106">
                <wp:simplePos x="0" y="0"/>
                <wp:positionH relativeFrom="margin">
                  <wp:align>left</wp:align>
                </wp:positionH>
                <wp:positionV relativeFrom="paragraph">
                  <wp:posOffset>419100</wp:posOffset>
                </wp:positionV>
                <wp:extent cx="5695315" cy="781050"/>
                <wp:effectExtent l="0" t="0" r="19685" b="19050"/>
                <wp:wrapSquare wrapText="bothSides"/>
                <wp:docPr id="9" name="Text Box 5"/>
                <wp:cNvGraphicFramePr/>
                <a:graphic xmlns:a="http://schemas.openxmlformats.org/drawingml/2006/main">
                  <a:graphicData uri="http://schemas.microsoft.com/office/word/2010/wordprocessingShape">
                    <wps:wsp>
                      <wps:cNvSpPr/>
                      <wps:spPr>
                        <a:xfrm>
                          <a:off x="0" y="0"/>
                          <a:ext cx="5695315" cy="78105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txbxContent>
                      </wps:txbx>
                      <wps:bodyPr wrap="square">
                        <a:noAutofit/>
                      </wps:bodyPr>
                    </wps:wsp>
                  </a:graphicData>
                </a:graphic>
                <wp14:sizeRelV relativeFrom="margin">
                  <wp14:pctHeight>0</wp14:pctHeight>
                </wp14:sizeRelV>
              </wp:anchor>
            </w:drawing>
          </mc:Choice>
          <mc:Fallback>
            <w:pict>
              <v:rect w14:anchorId="24957F13" id="Text Box 5" o:spid="_x0000_s1026" style="position:absolute;margin-left:0;margin-top:33pt;width:448.45pt;height:61.5pt;z-index:251661312;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" o:allowincell="f">
                <v:textbox>
                  <w:txbxContent>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txbxContent>
                </v:textbox>
                <w10:wrap type="square" anchorx="margin"/>
              </v:rect>
            </w:pict>
          </mc:Fallback>
        </mc:AlternateContent>
      </w:r>
      <w:r>
        <w:rPr>
          <w:b/>
        </w:rPr>
        <w:t xml:space="preserve">Q8: Tell us one thing you think Warwickshire Police does well... </w:t>
      </w:r>
    </w:p>
    <w:p w:rsidR="00F336D3" w:rsidRDefault="00F336D3" w:rsidP="00B32E52">
      <w:pPr>
        <w:rPr>
          <w:b/>
        </w:rPr>
      </w:pPr>
    </w:p>
    <w:p w:rsidR="00B32E52" w:rsidRDefault="00F336D3" w:rsidP="00B32E52">
      <w:pPr>
        <w:rPr>
          <w:b/>
        </w:rPr>
      </w:pPr>
      <w:r>
        <w:rPr>
          <w:b/>
          <w:noProof/>
          <w:lang w:eastAsia="en-GB"/>
        </w:rPr>
        <mc:AlternateContent>
          <mc:Choice Requires="wps">
            <w:drawing>
              <wp:anchor distT="45720" distB="45720" distL="114300" distR="114300" simplePos="0" relativeHeight="251663360" behindDoc="1" locked="0" layoutInCell="0" allowOverlap="1" wp14:anchorId="1CB793D8" wp14:editId="49AF95F1">
                <wp:simplePos x="0" y="0"/>
                <wp:positionH relativeFrom="margin">
                  <wp:align>left</wp:align>
                </wp:positionH>
                <wp:positionV relativeFrom="paragraph">
                  <wp:posOffset>311150</wp:posOffset>
                </wp:positionV>
                <wp:extent cx="5696585" cy="800735"/>
                <wp:effectExtent l="0" t="0" r="18415" b="18415"/>
                <wp:wrapTight wrapText="bothSides">
                  <wp:wrapPolygon edited="0">
                    <wp:start x="0" y="0"/>
                    <wp:lineTo x="0" y="21583"/>
                    <wp:lineTo x="21598" y="21583"/>
                    <wp:lineTo x="21598" y="0"/>
                    <wp:lineTo x="0" y="0"/>
                  </wp:wrapPolygon>
                </wp:wrapTight>
                <wp:docPr id="11" name="Text Box 5_0"/>
                <wp:cNvGraphicFramePr/>
                <a:graphic xmlns:a="http://schemas.openxmlformats.org/drawingml/2006/main">
                  <a:graphicData uri="http://schemas.microsoft.com/office/word/2010/wordprocessingShape">
                    <wps:wsp>
                      <wps:cNvSpPr/>
                      <wps:spPr>
                        <a:xfrm>
                          <a:off x="0" y="0"/>
                          <a:ext cx="5696585" cy="80073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txbxContent>
                      </wps:txbx>
                      <wps:bodyPr>
                        <a:noAutofit/>
                      </wps:bodyPr>
                    </wps:wsp>
                  </a:graphicData>
                </a:graphic>
                <wp14:sizeRelV relativeFrom="margin">
                  <wp14:pctHeight>0</wp14:pctHeight>
                </wp14:sizeRelV>
              </wp:anchor>
            </w:drawing>
          </mc:Choice>
          <mc:Fallback>
            <w:pict>
              <v:rect w14:anchorId="1CB793D8" id="Text Box 5_0" o:spid="_x0000_s1027" style="position:absolute;margin-left:0;margin-top:24.5pt;width:448.55pt;height:63.05pt;z-index:-251653120;visibility:visible;mso-wrap-style:square;mso-height-percent:0;mso-wrap-distance-left:9pt;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" o:allowincell="f">
                <v:textbox>
                  <w:txbxContent>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txbxContent>
                </v:textbox>
                <w10:wrap type="tight" anchorx="margin"/>
              </v:rect>
            </w:pict>
          </mc:Fallback>
        </mc:AlternateContent>
      </w:r>
      <w:r w:rsidR="00B32E52">
        <w:rPr>
          <w:b/>
        </w:rPr>
        <w:t>Q9: Tell us one thing you think Warwickshire Police could do better…</w:t>
      </w:r>
    </w:p>
    <w:p w:rsidR="00B32E52" w:rsidRDefault="00B32E52" w:rsidP="00B32E52">
      <w:pPr>
        <w:pStyle w:val="Heading3"/>
      </w:pPr>
    </w:p>
    <w:p w:rsidR="00B32E52" w:rsidRDefault="00B32E52" w:rsidP="00F336D3">
      <w:pPr>
        <w:pStyle w:val="Heading2"/>
      </w:pPr>
      <w:r>
        <w:t>Funding the police</w:t>
      </w:r>
    </w:p>
    <w:p w:rsidR="00B32E52" w:rsidRDefault="00B32E52" w:rsidP="00B32E52">
      <w:r>
        <w:t>There are two main sources of funding for the policing budget. In 2020/21, just over half of Warwickshire Police’s budget (</w:t>
      </w:r>
      <w:r w:rsidRPr="004849EA">
        <w:t xml:space="preserve">£57.592 </w:t>
      </w:r>
      <w:r>
        <w:t>million) came from central government, while just under half (£50.142 million) came from the Police Precept (the portion of Council Tax which is used to fund local police services).</w:t>
      </w:r>
    </w:p>
    <w:p w:rsidR="00B32E52" w:rsidRDefault="00B32E52" w:rsidP="00B32E52">
      <w:r>
        <w:t xml:space="preserve">The Government’s Spending Review has announced continued funding to enable forces to recruit their portion of the 20,000 new police officers being recruited nationally, but it is likely that the remainder of the core grant given to Warwickshire will remain at the same level as 2020/21 in real terms. </w:t>
      </w:r>
    </w:p>
    <w:p w:rsidR="00B32E52" w:rsidRDefault="00B32E52" w:rsidP="00B32E52">
      <w:r>
        <w:t>Inflation and other costs pressures may therefore mean there is less money to spend on policing locally.</w:t>
      </w:r>
    </w:p>
    <w:p w:rsidR="00B32E52" w:rsidRDefault="00B32E52" w:rsidP="00B32E52">
      <w:r>
        <w:t>We also know that the COVID-19 pandemic has had a significant impact on the economy and public sector finances and costs for this are still being calculated.  This may also mean that the overall amount of funding for policing and other public services could reduce in future years.</w:t>
      </w:r>
    </w:p>
    <w:p w:rsidR="00B32E52" w:rsidRDefault="00B32E52" w:rsidP="00B32E52">
      <w:pPr>
        <w:rPr>
          <w:b/>
        </w:rPr>
      </w:pPr>
      <w:r>
        <w:rPr>
          <w:b/>
        </w:rPr>
        <w:t>Q10: If this was the case, would you be prepared to pay more in Council Tax to help bridge the shortfall in the police budget?</w:t>
      </w:r>
      <w:r w:rsidR="00F336D3">
        <w:rPr>
          <w:b/>
        </w:rPr>
        <w:t xml:space="preserve"> </w:t>
      </w:r>
      <w:r w:rsidR="00F336D3" w:rsidRPr="00B32E52">
        <w:rPr>
          <w:i/>
        </w:rPr>
        <w:t>(Please select 1 answer)</w:t>
      </w:r>
    </w:p>
    <w:tbl>
      <w:tblPr>
        <w:tblStyle w:val="TableGrid"/>
        <w:tblW w:w="0" w:type="auto"/>
        <w:tblInd w:w="360" w:type="dxa"/>
        <w:tblLook w:val="04A0" w:firstRow="1" w:lastRow="0" w:firstColumn="1" w:lastColumn="0" w:noHBand="0" w:noVBand="1"/>
      </w:tblPr>
      <w:tblGrid>
        <w:gridCol w:w="1195"/>
        <w:gridCol w:w="7461"/>
      </w:tblGrid>
      <w:tr w:rsidR="00F336D3" w:rsidTr="004C3F66">
        <w:sdt>
          <w:sdtPr>
            <w:id w:val="-34191507"/>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4C3F66">
            <w:pPr>
              <w:ind w:left="360"/>
            </w:pPr>
            <w:r>
              <w:t>Yes – go to Q12</w:t>
            </w:r>
          </w:p>
        </w:tc>
      </w:tr>
      <w:tr w:rsidR="00F336D3" w:rsidTr="004C3F66">
        <w:sdt>
          <w:sdtPr>
            <w:id w:val="-2143884828"/>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4C3F66">
            <w:r>
              <w:t xml:space="preserve">      No – Go to Q11</w:t>
            </w:r>
          </w:p>
        </w:tc>
      </w:tr>
    </w:tbl>
    <w:p w:rsidR="00F336D3" w:rsidRDefault="00F336D3" w:rsidP="00B32E52">
      <w:pPr>
        <w:rPr>
          <w:b/>
        </w:rPr>
      </w:pPr>
    </w:p>
    <w:p w:rsidR="00B32E52" w:rsidRDefault="00B32E52" w:rsidP="00B32E52">
      <w:pPr>
        <w:rPr>
          <w:b/>
        </w:rPr>
      </w:pPr>
      <w:r>
        <w:rPr>
          <w:i/>
        </w:rPr>
        <w:t>For those answering no to Q10 above</w:t>
      </w:r>
      <w:r>
        <w:br/>
      </w:r>
      <w:r>
        <w:rPr>
          <w:b/>
        </w:rPr>
        <w:t>Q11: Would your answer be different if it meant that, without any increases to the Police Precept (Council Tax), services provided by Warwickshire Police would have to be reduced?</w:t>
      </w:r>
      <w:r w:rsidR="00F336D3">
        <w:rPr>
          <w:b/>
        </w:rPr>
        <w:t xml:space="preserve"> </w:t>
      </w:r>
      <w:r w:rsidR="00F336D3" w:rsidRPr="00B32E52">
        <w:rPr>
          <w:i/>
        </w:rPr>
        <w:t>(Please select 1 answer)</w:t>
      </w:r>
    </w:p>
    <w:tbl>
      <w:tblPr>
        <w:tblStyle w:val="TableGrid"/>
        <w:tblW w:w="0" w:type="auto"/>
        <w:tblInd w:w="360" w:type="dxa"/>
        <w:tblLook w:val="04A0" w:firstRow="1" w:lastRow="0" w:firstColumn="1" w:lastColumn="0" w:noHBand="0" w:noVBand="1"/>
      </w:tblPr>
      <w:tblGrid>
        <w:gridCol w:w="1195"/>
        <w:gridCol w:w="7461"/>
      </w:tblGrid>
      <w:tr w:rsidR="00F336D3" w:rsidTr="004C3F66">
        <w:sdt>
          <w:sdtPr>
            <w:id w:val="1397934457"/>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F336D3">
            <w:pPr>
              <w:ind w:left="360"/>
            </w:pPr>
            <w:r>
              <w:t>Yes – I would prefer some form of council tax increase to preserve services as much as possible – go to Q12</w:t>
            </w:r>
          </w:p>
        </w:tc>
      </w:tr>
      <w:tr w:rsidR="00F336D3" w:rsidTr="004C3F66">
        <w:sdt>
          <w:sdtPr>
            <w:id w:val="-1978218229"/>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F336D3">
            <w:pPr>
              <w:ind w:left="360"/>
            </w:pPr>
            <w:r>
              <w:t>No – my answer is the same and services will have to be reduced as a consequence – go to Q13</w:t>
            </w:r>
          </w:p>
        </w:tc>
      </w:tr>
    </w:tbl>
    <w:p w:rsidR="00F336D3" w:rsidRDefault="00F336D3" w:rsidP="00B32E52"/>
    <w:p w:rsidR="00B32E52" w:rsidRDefault="00B32E52" w:rsidP="00B32E52">
      <w:pPr>
        <w:rPr>
          <w:b/>
        </w:rPr>
      </w:pPr>
      <w:r>
        <w:rPr>
          <w:i/>
        </w:rPr>
        <w:t>For those answering yes to Q10 above</w:t>
      </w:r>
      <w:r>
        <w:rPr>
          <w:b/>
          <w:i/>
        </w:rPr>
        <w:br/>
      </w:r>
      <w:r>
        <w:rPr>
          <w:b/>
        </w:rPr>
        <w:t>Q12: Would you support:</w:t>
      </w:r>
      <w:r w:rsidR="00F336D3">
        <w:rPr>
          <w:b/>
        </w:rPr>
        <w:t xml:space="preserve">  </w:t>
      </w:r>
      <w:r w:rsidR="00F336D3" w:rsidRPr="00B32E52">
        <w:rPr>
          <w:i/>
        </w:rPr>
        <w:t>(Please select 1 answer)</w:t>
      </w:r>
    </w:p>
    <w:tbl>
      <w:tblPr>
        <w:tblStyle w:val="TableGrid"/>
        <w:tblW w:w="0" w:type="auto"/>
        <w:tblInd w:w="360" w:type="dxa"/>
        <w:tblLook w:val="04A0" w:firstRow="1" w:lastRow="0" w:firstColumn="1" w:lastColumn="0" w:noHBand="0" w:noVBand="1"/>
      </w:tblPr>
      <w:tblGrid>
        <w:gridCol w:w="1195"/>
        <w:gridCol w:w="7461"/>
      </w:tblGrid>
      <w:tr w:rsidR="00F336D3" w:rsidTr="004C3F66">
        <w:sdt>
          <w:sdtPr>
            <w:id w:val="1162587871"/>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F336D3">
            <w:pPr>
              <w:ind w:left="360"/>
            </w:pPr>
            <w:r>
              <w:t>A small increase – which might mean larger savings would need to be found and services may need to reduce.</w:t>
            </w:r>
          </w:p>
        </w:tc>
      </w:tr>
      <w:tr w:rsidR="00F336D3" w:rsidTr="004C3F66">
        <w:sdt>
          <w:sdtPr>
            <w:id w:val="-174034636"/>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F336D3">
            <w:pPr>
              <w:ind w:left="360"/>
            </w:pPr>
            <w:r>
              <w:t>A moderate increase – which would provide some protection for existing services but would still require some significant efficiency savings from the force.</w:t>
            </w:r>
          </w:p>
        </w:tc>
      </w:tr>
      <w:tr w:rsidR="00F336D3" w:rsidTr="004C3F66">
        <w:sdt>
          <w:sdtPr>
            <w:id w:val="1273054444"/>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F336D3">
            <w:pPr>
              <w:ind w:left="360"/>
            </w:pPr>
            <w:r>
              <w:t>A larger increase – which would provide the maximum protection for existing levels of service, but still require the force to make efficiency savings.</w:t>
            </w:r>
          </w:p>
        </w:tc>
      </w:tr>
    </w:tbl>
    <w:p w:rsidR="00F336D3" w:rsidRDefault="00F336D3" w:rsidP="00B32E52">
      <w:pPr>
        <w:rPr>
          <w:b/>
        </w:rPr>
      </w:pPr>
    </w:p>
    <w:p w:rsidR="00B32E52" w:rsidRDefault="00B32E52" w:rsidP="00F336D3">
      <w:pPr>
        <w:pStyle w:val="Heading2"/>
      </w:pPr>
      <w:r>
        <w:t>Affordability of the Police Precept</w:t>
      </w:r>
    </w:p>
    <w:p w:rsidR="00B32E52" w:rsidRDefault="00B32E52" w:rsidP="00B32E52">
      <w:r>
        <w:t xml:space="preserve">Currently, the Police Precept in Warwickshire is set at the following rate in each Council Tax band (You can find out which Council Tax band applies to your household on the </w:t>
      </w:r>
      <w:hyperlink r:id="rId6" w:tgtFrame="_blank">
        <w:r>
          <w:rPr>
            <w:rStyle w:val="Hyperlink"/>
          </w:rPr>
          <w:t>Gov.uk website</w:t>
        </w:r>
      </w:hyperlink>
      <w:r>
        <w:t>):</w:t>
      </w:r>
    </w:p>
    <w:tbl>
      <w:tblPr>
        <w:tblW w:w="9026" w:type="dxa"/>
        <w:tblLayout w:type="fixed"/>
        <w:tblCellMar>
          <w:top w:w="15" w:type="dxa"/>
          <w:left w:w="15" w:type="dxa"/>
          <w:bottom w:w="15" w:type="dxa"/>
          <w:right w:w="15" w:type="dxa"/>
        </w:tblCellMar>
        <w:tblLook w:val="04A0" w:firstRow="1" w:lastRow="0" w:firstColumn="1" w:lastColumn="0" w:noHBand="0" w:noVBand="1"/>
      </w:tblPr>
      <w:tblGrid>
        <w:gridCol w:w="4512"/>
        <w:gridCol w:w="4514"/>
      </w:tblGrid>
      <w:tr w:rsidR="00B32E52" w:rsidTr="004C3F66">
        <w:trPr>
          <w:tblHeader/>
        </w:trPr>
        <w:tc>
          <w:tcPr>
            <w:tcW w:w="4512"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
                <w:bCs/>
                <w:lang w:eastAsia="en-GB"/>
              </w:rPr>
              <w:t>Council Tax band</w:t>
            </w:r>
          </w:p>
        </w:tc>
        <w:tc>
          <w:tcPr>
            <w:tcW w:w="4513"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
                <w:bCs/>
                <w:lang w:eastAsia="en-GB"/>
              </w:rPr>
              <w:t>Amount per year</w:t>
            </w:r>
          </w:p>
        </w:tc>
      </w:tr>
      <w:tr w:rsidR="00B32E52" w:rsidTr="004C3F66">
        <w:tc>
          <w:tcPr>
            <w:tcW w:w="4512"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Cs/>
                <w:lang w:eastAsia="en-GB"/>
              </w:rPr>
              <w:t>Band A</w:t>
            </w:r>
          </w:p>
        </w:tc>
        <w:tc>
          <w:tcPr>
            <w:tcW w:w="4513"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lang w:eastAsia="en-GB"/>
              </w:rPr>
              <w:t>£158.65</w:t>
            </w:r>
          </w:p>
        </w:tc>
      </w:tr>
      <w:tr w:rsidR="00B32E52" w:rsidTr="004C3F66">
        <w:tc>
          <w:tcPr>
            <w:tcW w:w="4512"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Cs/>
                <w:lang w:eastAsia="en-GB"/>
              </w:rPr>
              <w:t>Band B</w:t>
            </w:r>
          </w:p>
        </w:tc>
        <w:tc>
          <w:tcPr>
            <w:tcW w:w="4513"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lang w:eastAsia="en-GB"/>
              </w:rPr>
              <w:t>£185.09</w:t>
            </w:r>
          </w:p>
        </w:tc>
      </w:tr>
      <w:tr w:rsidR="00B32E52" w:rsidTr="004C3F66">
        <w:tc>
          <w:tcPr>
            <w:tcW w:w="4512"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Cs/>
                <w:lang w:eastAsia="en-GB"/>
              </w:rPr>
              <w:t>Band C</w:t>
            </w:r>
          </w:p>
        </w:tc>
        <w:tc>
          <w:tcPr>
            <w:tcW w:w="4513"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lang w:eastAsia="en-GB"/>
              </w:rPr>
              <w:t>£211.53</w:t>
            </w:r>
          </w:p>
        </w:tc>
      </w:tr>
      <w:tr w:rsidR="00B32E52" w:rsidTr="004C3F66">
        <w:tc>
          <w:tcPr>
            <w:tcW w:w="4512"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Cs/>
                <w:lang w:eastAsia="en-GB"/>
              </w:rPr>
              <w:t>Band D</w:t>
            </w:r>
          </w:p>
        </w:tc>
        <w:tc>
          <w:tcPr>
            <w:tcW w:w="4513"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lang w:eastAsia="en-GB"/>
              </w:rPr>
              <w:t>£237.97</w:t>
            </w:r>
          </w:p>
        </w:tc>
      </w:tr>
      <w:tr w:rsidR="00B32E52" w:rsidTr="004C3F66">
        <w:tc>
          <w:tcPr>
            <w:tcW w:w="4512"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Cs/>
                <w:lang w:eastAsia="en-GB"/>
              </w:rPr>
              <w:lastRenderedPageBreak/>
              <w:t>Band E</w:t>
            </w:r>
          </w:p>
        </w:tc>
        <w:tc>
          <w:tcPr>
            <w:tcW w:w="4513"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lang w:eastAsia="en-GB"/>
              </w:rPr>
              <w:t>£290.85</w:t>
            </w:r>
          </w:p>
        </w:tc>
      </w:tr>
      <w:tr w:rsidR="00B32E52" w:rsidTr="004C3F66">
        <w:tc>
          <w:tcPr>
            <w:tcW w:w="4512"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Cs/>
                <w:lang w:eastAsia="en-GB"/>
              </w:rPr>
              <w:t>Band F</w:t>
            </w:r>
          </w:p>
        </w:tc>
        <w:tc>
          <w:tcPr>
            <w:tcW w:w="4513"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lang w:eastAsia="en-GB"/>
              </w:rPr>
              <w:t>£343.73</w:t>
            </w:r>
          </w:p>
        </w:tc>
      </w:tr>
      <w:tr w:rsidR="00B32E52" w:rsidTr="004C3F66">
        <w:tc>
          <w:tcPr>
            <w:tcW w:w="4512"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Cs/>
                <w:lang w:eastAsia="en-GB"/>
              </w:rPr>
              <w:t>Band G</w:t>
            </w:r>
          </w:p>
        </w:tc>
        <w:tc>
          <w:tcPr>
            <w:tcW w:w="4513"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lang w:eastAsia="en-GB"/>
              </w:rPr>
              <w:t>£396.62</w:t>
            </w:r>
          </w:p>
        </w:tc>
      </w:tr>
      <w:tr w:rsidR="00B32E52" w:rsidTr="004C3F66">
        <w:tc>
          <w:tcPr>
            <w:tcW w:w="4512"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bCs/>
                <w:lang w:eastAsia="en-GB"/>
              </w:rPr>
              <w:t>Band H</w:t>
            </w:r>
          </w:p>
        </w:tc>
        <w:tc>
          <w:tcPr>
            <w:tcW w:w="4513" w:type="dxa"/>
            <w:vAlign w:val="center"/>
          </w:tcPr>
          <w:p w:rsidR="00B32E52" w:rsidRDefault="00B32E52" w:rsidP="004C3F66">
            <w:pPr>
              <w:widowControl w:val="0"/>
              <w:spacing w:after="0" w:line="240" w:lineRule="auto"/>
              <w:rPr>
                <w:rFonts w:eastAsia="Times New Roman" w:cs="Times New Roman"/>
                <w:lang w:eastAsia="en-GB"/>
              </w:rPr>
            </w:pPr>
            <w:r>
              <w:rPr>
                <w:rFonts w:eastAsia="Times New Roman" w:cs="Times New Roman"/>
                <w:lang w:eastAsia="en-GB"/>
              </w:rPr>
              <w:t>£475.94</w:t>
            </w:r>
          </w:p>
        </w:tc>
      </w:tr>
    </w:tbl>
    <w:p w:rsidR="00F336D3" w:rsidRDefault="00F336D3" w:rsidP="00B32E52"/>
    <w:p w:rsidR="00B32E52" w:rsidRDefault="00B32E52" w:rsidP="00B32E52">
      <w:r>
        <w:t>As with other authorities which set the overall Council Tax level (for example for council services, local parishes and fire and rescue services), the Police and Crime Commissioner can increase or decrease the amount of the Police Precept each year.  In past years, the Police Precept has been frozen (remained unchanged) or was increased at levels between £2.88 and £24 per year for an average Band D property.  Households in lower bandings paid proportionately less and those in higher bandings paid proportionately more.</w:t>
      </w:r>
    </w:p>
    <w:p w:rsidR="00B32E52" w:rsidRDefault="00B32E52" w:rsidP="00B32E52">
      <w:r>
        <w:t>For the year ahead, the Government has confirmed that Police and Crime Commissioners in England will have the flexibility to increase local Police Precepts by up to £15 per year on a Band D property.</w:t>
      </w:r>
    </w:p>
    <w:p w:rsidR="00B32E52" w:rsidRPr="00F336D3" w:rsidRDefault="00B32E52" w:rsidP="00B32E52">
      <w:r>
        <w:t>Bearing this in mind:</w:t>
      </w:r>
    </w:p>
    <w:p w:rsidR="00B32E52" w:rsidRDefault="00B32E52" w:rsidP="00B32E52">
      <w:pPr>
        <w:rPr>
          <w:i/>
        </w:rPr>
      </w:pPr>
      <w:r>
        <w:rPr>
          <w:b/>
        </w:rPr>
        <w:t xml:space="preserve">Q13: If there was an increase in the police part of your Council Tax bill, do you feel this would be affordable for you?  </w:t>
      </w:r>
      <w:r w:rsidRPr="00F336D3">
        <w:rPr>
          <w:i/>
        </w:rPr>
        <w:t>Please choose the statement below which best represents your views:</w:t>
      </w:r>
    </w:p>
    <w:tbl>
      <w:tblPr>
        <w:tblStyle w:val="TableGrid"/>
        <w:tblW w:w="0" w:type="auto"/>
        <w:tblInd w:w="360" w:type="dxa"/>
        <w:tblLook w:val="04A0" w:firstRow="1" w:lastRow="0" w:firstColumn="1" w:lastColumn="0" w:noHBand="0" w:noVBand="1"/>
      </w:tblPr>
      <w:tblGrid>
        <w:gridCol w:w="1195"/>
        <w:gridCol w:w="7461"/>
      </w:tblGrid>
      <w:tr w:rsidR="00F336D3" w:rsidTr="004C3F66">
        <w:sdt>
          <w:sdtPr>
            <w:id w:val="1535376823"/>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F336D3">
            <w:pPr>
              <w:ind w:left="360"/>
            </w:pPr>
            <w:r>
              <w:t>I could afford a small increase</w:t>
            </w:r>
            <w:r w:rsidRPr="00370D8E">
              <w:t xml:space="preserve"> (for example, less than £5 per year on a Band D property)</w:t>
            </w:r>
          </w:p>
        </w:tc>
      </w:tr>
      <w:tr w:rsidR="00F336D3" w:rsidTr="004C3F66">
        <w:sdt>
          <w:sdtPr>
            <w:id w:val="-1214195119"/>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F336D3">
            <w:pPr>
              <w:ind w:left="360"/>
            </w:pPr>
            <w:r>
              <w:t xml:space="preserve">I could afford a moderate increase </w:t>
            </w:r>
            <w:r w:rsidRPr="00370D8E">
              <w:t>(for example, between £5 and £10 per year</w:t>
            </w:r>
            <w:r>
              <w:t xml:space="preserve"> </w:t>
            </w:r>
            <w:r w:rsidRPr="00370D8E">
              <w:t>on a Band D property)</w:t>
            </w:r>
          </w:p>
        </w:tc>
      </w:tr>
      <w:tr w:rsidR="00F336D3" w:rsidTr="004C3F66">
        <w:sdt>
          <w:sdtPr>
            <w:id w:val="-820808609"/>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F336D3">
            <w:pPr>
              <w:ind w:left="360"/>
            </w:pPr>
            <w:r>
              <w:t xml:space="preserve">I could afford a larger increase </w:t>
            </w:r>
            <w:r w:rsidRPr="00370D8E">
              <w:t>(for example, £10-£15 per year</w:t>
            </w:r>
            <w:r>
              <w:t xml:space="preserve"> </w:t>
            </w:r>
            <w:r w:rsidRPr="00370D8E">
              <w:t>on a Band D property)</w:t>
            </w:r>
          </w:p>
        </w:tc>
      </w:tr>
      <w:tr w:rsidR="00F336D3" w:rsidTr="004C3F66">
        <w:sdt>
          <w:sdtPr>
            <w:id w:val="-931659772"/>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Default="00F336D3" w:rsidP="00F336D3">
            <w:pPr>
              <w:ind w:left="360"/>
            </w:pPr>
            <w:r>
              <w:t>I do not feel that any increase would be affordable to me</w:t>
            </w:r>
          </w:p>
        </w:tc>
      </w:tr>
      <w:tr w:rsidR="00F336D3" w:rsidRPr="004D1F55" w:rsidTr="004C3F66">
        <w:sdt>
          <w:sdtPr>
            <w:id w:val="-250738077"/>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Pr="004D1F55" w:rsidRDefault="00F336D3" w:rsidP="00F336D3">
            <w:pPr>
              <w:ind w:left="360"/>
            </w:pPr>
            <w:r>
              <w:t>I’m not sure</w:t>
            </w:r>
          </w:p>
        </w:tc>
      </w:tr>
      <w:tr w:rsidR="00F336D3" w:rsidRPr="004D1F55" w:rsidTr="004C3F66">
        <w:sdt>
          <w:sdtPr>
            <w:id w:val="-884709887"/>
            <w14:checkbox>
              <w14:checked w14:val="0"/>
              <w14:checkedState w14:val="2612" w14:font="MS Gothic"/>
              <w14:uncheckedState w14:val="2610" w14:font="MS Gothic"/>
            </w14:checkbox>
          </w:sdtPr>
          <w:sdtEndPr/>
          <w:sdtContent>
            <w:tc>
              <w:tcPr>
                <w:tcW w:w="1195" w:type="dxa"/>
              </w:tcPr>
              <w:p w:rsidR="00F336D3" w:rsidRDefault="00F336D3" w:rsidP="004C3F66">
                <w:r>
                  <w:rPr>
                    <w:rFonts w:ascii="MS Gothic" w:eastAsia="MS Gothic" w:hAnsi="MS Gothic" w:hint="eastAsia"/>
                  </w:rPr>
                  <w:t>☐</w:t>
                </w:r>
              </w:p>
            </w:tc>
          </w:sdtContent>
        </w:sdt>
        <w:tc>
          <w:tcPr>
            <w:tcW w:w="7461" w:type="dxa"/>
          </w:tcPr>
          <w:p w:rsidR="00F336D3" w:rsidRPr="004D1F55" w:rsidRDefault="00F336D3" w:rsidP="00F336D3">
            <w:pPr>
              <w:ind w:left="360"/>
            </w:pPr>
            <w:r>
              <w:t>I don’t pay Council Tax</w:t>
            </w:r>
          </w:p>
        </w:tc>
      </w:tr>
    </w:tbl>
    <w:p w:rsidR="00B32E52" w:rsidRDefault="00B32E52" w:rsidP="00F336D3">
      <w:pPr>
        <w:pStyle w:val="Heading2"/>
      </w:pPr>
      <w:r>
        <w:lastRenderedPageBreak/>
        <w:t>Revenue and capital spending choices</w:t>
      </w:r>
    </w:p>
    <w:p w:rsidR="00B32E52" w:rsidRDefault="00B32E52" w:rsidP="00B32E52">
      <w:r>
        <w:t>The overall policing budget for Warwickshire during the current year is just over £101 million. This is split into revenue and capital funding.</w:t>
      </w:r>
    </w:p>
    <w:p w:rsidR="00B32E52" w:rsidRDefault="00B32E52" w:rsidP="00B32E52">
      <w:r>
        <w:t>Revenue funding is how we pay for the general running costs of Warwickshire Police, such as police officer and police staff salaries, maintaining vehicles etc.</w:t>
      </w:r>
    </w:p>
    <w:p w:rsidR="00B32E52" w:rsidRDefault="00B32E52" w:rsidP="00B32E52">
      <w:r>
        <w:t>Capital funding is our investment into maintaining our assets, such as investment in information technology systems or our buildings and equipment etc.</w:t>
      </w:r>
    </w:p>
    <w:p w:rsidR="00B32E52" w:rsidRDefault="00B32E52" w:rsidP="00B32E52">
      <w:r>
        <w:t>Pay and employer's contributions to pensions and National Insurance for our officers and staff accounts for around 80% of the total budget.</w:t>
      </w:r>
    </w:p>
    <w:p w:rsidR="00AE662E" w:rsidRDefault="00AE662E" w:rsidP="00B32E52">
      <w:r>
        <w:t xml:space="preserve">Taking this into account: </w:t>
      </w:r>
    </w:p>
    <w:p w:rsidR="00AE662E" w:rsidRDefault="00AE662E" w:rsidP="00B32E52"/>
    <w:p w:rsidR="00B32E52" w:rsidRDefault="00B32E52" w:rsidP="00B32E52">
      <w:r>
        <w:rPr>
          <w:b/>
        </w:rPr>
        <w:t xml:space="preserve">Q14: Below are a series of statements which outline areas in which spending could be prioritised.  </w:t>
      </w:r>
      <w:r w:rsidR="00F336D3">
        <w:t xml:space="preserve">Please number each statement in order of importance in the left column, with ‘1’ being the most important to you and ‘12’ being the least important to you. </w:t>
      </w:r>
    </w:p>
    <w:tbl>
      <w:tblPr>
        <w:tblStyle w:val="TableGrid"/>
        <w:tblW w:w="0" w:type="auto"/>
        <w:tblLook w:val="04A0" w:firstRow="1" w:lastRow="0" w:firstColumn="1" w:lastColumn="0" w:noHBand="0" w:noVBand="1"/>
      </w:tblPr>
      <w:tblGrid>
        <w:gridCol w:w="988"/>
        <w:gridCol w:w="8028"/>
      </w:tblGrid>
      <w:tr w:rsidR="00F336D3" w:rsidTr="00F336D3">
        <w:tc>
          <w:tcPr>
            <w:tcW w:w="988" w:type="dxa"/>
          </w:tcPr>
          <w:p w:rsidR="00F336D3" w:rsidRDefault="00F336D3" w:rsidP="00B32E52"/>
        </w:tc>
        <w:tc>
          <w:tcPr>
            <w:tcW w:w="8028" w:type="dxa"/>
          </w:tcPr>
          <w:p w:rsidR="00F336D3" w:rsidRDefault="00F336D3" w:rsidP="00F336D3">
            <w:r>
              <w:t>Investing in the capability to respond to emergency incidents (i.e. 999 calls)</w:t>
            </w:r>
          </w:p>
        </w:tc>
      </w:tr>
      <w:tr w:rsidR="00F336D3" w:rsidTr="00F336D3">
        <w:tc>
          <w:tcPr>
            <w:tcW w:w="988" w:type="dxa"/>
          </w:tcPr>
          <w:p w:rsidR="00F336D3" w:rsidRDefault="00F336D3" w:rsidP="00B32E52"/>
        </w:tc>
        <w:tc>
          <w:tcPr>
            <w:tcW w:w="8028" w:type="dxa"/>
          </w:tcPr>
          <w:p w:rsidR="00F336D3" w:rsidRDefault="00F336D3" w:rsidP="00F336D3">
            <w:r>
              <w:t>Investing in the capability to respond to non-emergency incidents</w:t>
            </w:r>
          </w:p>
        </w:tc>
      </w:tr>
      <w:tr w:rsidR="00F336D3" w:rsidTr="00F336D3">
        <w:tc>
          <w:tcPr>
            <w:tcW w:w="988" w:type="dxa"/>
          </w:tcPr>
          <w:p w:rsidR="00F336D3" w:rsidRDefault="00F336D3" w:rsidP="00B32E52"/>
        </w:tc>
        <w:tc>
          <w:tcPr>
            <w:tcW w:w="8028" w:type="dxa"/>
          </w:tcPr>
          <w:p w:rsidR="00F336D3" w:rsidRDefault="00F336D3" w:rsidP="00F336D3">
            <w:r>
              <w:t>Investing in the capability to detect serious crimes</w:t>
            </w:r>
          </w:p>
        </w:tc>
      </w:tr>
      <w:tr w:rsidR="00F336D3" w:rsidTr="00F336D3">
        <w:tc>
          <w:tcPr>
            <w:tcW w:w="988" w:type="dxa"/>
          </w:tcPr>
          <w:p w:rsidR="00F336D3" w:rsidRDefault="00F336D3" w:rsidP="00B32E52"/>
        </w:tc>
        <w:tc>
          <w:tcPr>
            <w:tcW w:w="8028" w:type="dxa"/>
          </w:tcPr>
          <w:p w:rsidR="00F336D3" w:rsidRDefault="00F336D3" w:rsidP="00F336D3">
            <w:r>
              <w:t>Investing in neighbourhood policing</w:t>
            </w:r>
          </w:p>
        </w:tc>
      </w:tr>
      <w:tr w:rsidR="00F336D3" w:rsidTr="00F336D3">
        <w:tc>
          <w:tcPr>
            <w:tcW w:w="988" w:type="dxa"/>
          </w:tcPr>
          <w:p w:rsidR="00F336D3" w:rsidRDefault="00F336D3" w:rsidP="00B32E52"/>
        </w:tc>
        <w:tc>
          <w:tcPr>
            <w:tcW w:w="8028" w:type="dxa"/>
          </w:tcPr>
          <w:p w:rsidR="00F336D3" w:rsidRDefault="00F336D3" w:rsidP="00F336D3">
            <w:r>
              <w:t>Investing in technology to allow frontline policing to respond more efficiently and effectively</w:t>
            </w:r>
          </w:p>
        </w:tc>
      </w:tr>
      <w:tr w:rsidR="00F336D3" w:rsidTr="00F336D3">
        <w:tc>
          <w:tcPr>
            <w:tcW w:w="988" w:type="dxa"/>
          </w:tcPr>
          <w:p w:rsidR="00F336D3" w:rsidRDefault="00F336D3" w:rsidP="00B32E52"/>
        </w:tc>
        <w:tc>
          <w:tcPr>
            <w:tcW w:w="8028" w:type="dxa"/>
          </w:tcPr>
          <w:p w:rsidR="00F336D3" w:rsidRDefault="00F336D3" w:rsidP="00F336D3">
            <w:r>
              <w:t>Maintaining officer numbers to protect visible policing</w:t>
            </w:r>
          </w:p>
        </w:tc>
      </w:tr>
      <w:tr w:rsidR="00F336D3" w:rsidTr="00F336D3">
        <w:tc>
          <w:tcPr>
            <w:tcW w:w="988" w:type="dxa"/>
          </w:tcPr>
          <w:p w:rsidR="00F336D3" w:rsidRDefault="00F336D3" w:rsidP="00B32E52"/>
        </w:tc>
        <w:tc>
          <w:tcPr>
            <w:tcW w:w="8028" w:type="dxa"/>
          </w:tcPr>
          <w:p w:rsidR="00F336D3" w:rsidRDefault="00F336D3" w:rsidP="00B32E52">
            <w:r>
              <w:t>Investing in police buildings and equipment to make them fit-for-purpose</w:t>
            </w:r>
          </w:p>
        </w:tc>
      </w:tr>
      <w:tr w:rsidR="00F336D3" w:rsidTr="00F336D3">
        <w:tc>
          <w:tcPr>
            <w:tcW w:w="988" w:type="dxa"/>
          </w:tcPr>
          <w:p w:rsidR="00F336D3" w:rsidRDefault="00F336D3" w:rsidP="00B32E52"/>
        </w:tc>
        <w:tc>
          <w:tcPr>
            <w:tcW w:w="8028" w:type="dxa"/>
          </w:tcPr>
          <w:p w:rsidR="00F336D3" w:rsidRDefault="00F336D3" w:rsidP="00B32E52">
            <w:r>
              <w:t>Reducing running costs of vehicles and buildings</w:t>
            </w:r>
          </w:p>
        </w:tc>
      </w:tr>
      <w:tr w:rsidR="00F336D3" w:rsidTr="00F336D3">
        <w:tc>
          <w:tcPr>
            <w:tcW w:w="988" w:type="dxa"/>
          </w:tcPr>
          <w:p w:rsidR="00F336D3" w:rsidRDefault="00F336D3" w:rsidP="00B32E52"/>
        </w:tc>
        <w:tc>
          <w:tcPr>
            <w:tcW w:w="8028" w:type="dxa"/>
          </w:tcPr>
          <w:p w:rsidR="00F336D3" w:rsidRDefault="00F336D3" w:rsidP="00F336D3">
            <w:r>
              <w:t>Investing in services to protect the vulnerable</w:t>
            </w:r>
          </w:p>
        </w:tc>
      </w:tr>
      <w:tr w:rsidR="00F336D3" w:rsidTr="00F336D3">
        <w:tc>
          <w:tcPr>
            <w:tcW w:w="988" w:type="dxa"/>
          </w:tcPr>
          <w:p w:rsidR="00F336D3" w:rsidRDefault="00F336D3" w:rsidP="00B32E52"/>
        </w:tc>
        <w:tc>
          <w:tcPr>
            <w:tcW w:w="8028" w:type="dxa"/>
          </w:tcPr>
          <w:p w:rsidR="00F336D3" w:rsidRDefault="00F336D3" w:rsidP="00F336D3">
            <w:r>
              <w:t>Investing in crime prevention in the community</w:t>
            </w:r>
          </w:p>
          <w:p w:rsidR="00F336D3" w:rsidRDefault="00F336D3" w:rsidP="00F336D3">
            <w:r>
              <w:t>Investing in measures to support the climate change emergency</w:t>
            </w:r>
          </w:p>
        </w:tc>
      </w:tr>
      <w:tr w:rsidR="00F336D3" w:rsidTr="00F336D3">
        <w:tc>
          <w:tcPr>
            <w:tcW w:w="988" w:type="dxa"/>
          </w:tcPr>
          <w:p w:rsidR="00F336D3" w:rsidRDefault="00F336D3" w:rsidP="00B32E52"/>
        </w:tc>
        <w:tc>
          <w:tcPr>
            <w:tcW w:w="8028" w:type="dxa"/>
          </w:tcPr>
          <w:p w:rsidR="00F336D3" w:rsidRDefault="00F336D3" w:rsidP="00F336D3">
            <w:r>
              <w:t>Finding efficiency savings, for example, through changed work practices and different use of existing resources to make them go further</w:t>
            </w:r>
          </w:p>
        </w:tc>
      </w:tr>
    </w:tbl>
    <w:p w:rsidR="00F336D3" w:rsidRDefault="00F336D3" w:rsidP="00B32E52"/>
    <w:p w:rsidR="00B32E52" w:rsidRDefault="00B32E52" w:rsidP="00AE662E">
      <w:pPr>
        <w:pStyle w:val="Heading2"/>
      </w:pPr>
      <w:r>
        <w:t>Grants and commissioning</w:t>
      </w:r>
    </w:p>
    <w:p w:rsidR="00B32E52" w:rsidRDefault="00B32E52" w:rsidP="00B32E52">
      <w:r>
        <w:t>Around 2.4% of the total police budget is allocated to the Office of the Police and Crime Commissioner. The majority of this allocation (approximately £1.7 million) relates to the funding for commissioned support services for victims, alongside programmes to reduce re-offending. The Commissioner’s Grants Scheme also supports projects in the community which deliver against the priorities of the Police and Crime Plan, help improve community safety and reduce crime.</w:t>
      </w:r>
    </w:p>
    <w:p w:rsidR="00B32E52" w:rsidRDefault="00B32E52" w:rsidP="00B32E52"/>
    <w:p w:rsidR="00B32E52" w:rsidRDefault="00B32E52" w:rsidP="00B32E52">
      <w:pPr>
        <w:rPr>
          <w:b/>
        </w:rPr>
      </w:pPr>
      <w:r>
        <w:rPr>
          <w:b/>
        </w:rPr>
        <w:t xml:space="preserve">Q15: Please consider the following statements about grants and commissioned services and indicate how strongly you agree or disagree with them </w:t>
      </w:r>
      <w:r w:rsidR="00AE662E">
        <w:rPr>
          <w:i/>
        </w:rPr>
        <w:t xml:space="preserve">(place an X </w:t>
      </w:r>
      <w:r w:rsidRPr="00AE662E">
        <w:rPr>
          <w:i/>
        </w:rPr>
        <w:t>in the column which matches your views for each statement):</w:t>
      </w:r>
    </w:p>
    <w:tbl>
      <w:tblPr>
        <w:tblStyle w:val="TableGrid"/>
        <w:tblW w:w="9016" w:type="dxa"/>
        <w:tblLayout w:type="fixed"/>
        <w:tblLook w:val="04A0" w:firstRow="1" w:lastRow="0" w:firstColumn="1" w:lastColumn="0" w:noHBand="0" w:noVBand="1"/>
      </w:tblPr>
      <w:tblGrid>
        <w:gridCol w:w="2264"/>
        <w:gridCol w:w="1275"/>
        <w:gridCol w:w="1277"/>
        <w:gridCol w:w="1416"/>
        <w:gridCol w:w="1419"/>
        <w:gridCol w:w="1365"/>
      </w:tblGrid>
      <w:tr w:rsidR="00B32E52" w:rsidTr="00AE662E">
        <w:trPr>
          <w:tblHeader/>
        </w:trPr>
        <w:tc>
          <w:tcPr>
            <w:tcW w:w="2263" w:type="dxa"/>
          </w:tcPr>
          <w:p w:rsidR="00B32E52" w:rsidRDefault="00B32E52" w:rsidP="004C3F66">
            <w:pPr>
              <w:spacing w:after="0" w:line="240" w:lineRule="auto"/>
              <w:rPr>
                <w:b/>
                <w:sz w:val="24"/>
                <w:szCs w:val="24"/>
              </w:rPr>
            </w:pPr>
          </w:p>
        </w:tc>
        <w:tc>
          <w:tcPr>
            <w:tcW w:w="1275" w:type="dxa"/>
          </w:tcPr>
          <w:p w:rsidR="00B32E52" w:rsidRDefault="00B32E52" w:rsidP="004C3F66">
            <w:pPr>
              <w:spacing w:after="0" w:line="240" w:lineRule="auto"/>
              <w:rPr>
                <w:b/>
                <w:sz w:val="24"/>
                <w:szCs w:val="24"/>
              </w:rPr>
            </w:pPr>
            <w:r>
              <w:rPr>
                <w:rFonts w:eastAsia="Calibri"/>
                <w:b/>
                <w:sz w:val="24"/>
                <w:szCs w:val="24"/>
              </w:rPr>
              <w:t>Strongly disagree</w:t>
            </w:r>
          </w:p>
        </w:tc>
        <w:tc>
          <w:tcPr>
            <w:tcW w:w="1277" w:type="dxa"/>
          </w:tcPr>
          <w:p w:rsidR="00B32E52" w:rsidRDefault="00B32E52" w:rsidP="004C3F66">
            <w:pPr>
              <w:spacing w:after="0" w:line="240" w:lineRule="auto"/>
              <w:rPr>
                <w:b/>
                <w:sz w:val="24"/>
                <w:szCs w:val="24"/>
              </w:rPr>
            </w:pPr>
            <w:r>
              <w:rPr>
                <w:rFonts w:eastAsia="Calibri"/>
                <w:b/>
                <w:sz w:val="24"/>
                <w:szCs w:val="24"/>
              </w:rPr>
              <w:t>Disagree</w:t>
            </w:r>
          </w:p>
        </w:tc>
        <w:tc>
          <w:tcPr>
            <w:tcW w:w="1416" w:type="dxa"/>
          </w:tcPr>
          <w:p w:rsidR="00B32E52" w:rsidRDefault="00B32E52" w:rsidP="004C3F66">
            <w:pPr>
              <w:spacing w:after="0" w:line="240" w:lineRule="auto"/>
              <w:rPr>
                <w:rFonts w:ascii="Calibri" w:eastAsia="Calibri" w:hAnsi="Calibri"/>
                <w:b/>
                <w:sz w:val="24"/>
                <w:szCs w:val="24"/>
              </w:rPr>
            </w:pPr>
            <w:r>
              <w:rPr>
                <w:rFonts w:eastAsia="Calibri"/>
                <w:b/>
                <w:sz w:val="24"/>
                <w:szCs w:val="24"/>
              </w:rPr>
              <w:t>Neither agree nor disagree</w:t>
            </w:r>
          </w:p>
        </w:tc>
        <w:tc>
          <w:tcPr>
            <w:tcW w:w="1419" w:type="dxa"/>
          </w:tcPr>
          <w:p w:rsidR="00B32E52" w:rsidRDefault="00B32E52" w:rsidP="004C3F66">
            <w:pPr>
              <w:spacing w:after="0" w:line="240" w:lineRule="auto"/>
              <w:rPr>
                <w:b/>
                <w:sz w:val="24"/>
                <w:szCs w:val="24"/>
              </w:rPr>
            </w:pPr>
            <w:r>
              <w:rPr>
                <w:rFonts w:eastAsia="Calibri"/>
                <w:b/>
                <w:sz w:val="24"/>
                <w:szCs w:val="24"/>
              </w:rPr>
              <w:t>Agree</w:t>
            </w:r>
          </w:p>
        </w:tc>
        <w:tc>
          <w:tcPr>
            <w:tcW w:w="1365" w:type="dxa"/>
          </w:tcPr>
          <w:p w:rsidR="00B32E52" w:rsidRDefault="00B32E52" w:rsidP="004C3F66">
            <w:pPr>
              <w:spacing w:after="0" w:line="240" w:lineRule="auto"/>
              <w:rPr>
                <w:b/>
                <w:sz w:val="24"/>
                <w:szCs w:val="24"/>
              </w:rPr>
            </w:pPr>
            <w:r>
              <w:rPr>
                <w:rFonts w:eastAsia="Calibri"/>
                <w:b/>
                <w:sz w:val="24"/>
                <w:szCs w:val="24"/>
              </w:rPr>
              <w:t>Strongly agree</w:t>
            </w:r>
          </w:p>
        </w:tc>
      </w:tr>
      <w:tr w:rsidR="00B32E52" w:rsidTr="004C3F66">
        <w:tc>
          <w:tcPr>
            <w:tcW w:w="2263" w:type="dxa"/>
          </w:tcPr>
          <w:p w:rsidR="00B32E52" w:rsidRDefault="00B32E52" w:rsidP="004C3F66">
            <w:pPr>
              <w:spacing w:after="0" w:line="240" w:lineRule="auto"/>
              <w:rPr>
                <w:sz w:val="24"/>
                <w:szCs w:val="24"/>
              </w:rPr>
            </w:pPr>
            <w:r>
              <w:rPr>
                <w:rFonts w:eastAsia="Calibri"/>
                <w:sz w:val="24"/>
                <w:szCs w:val="24"/>
              </w:rPr>
              <w:t>Victims of crime should have easily accessible support services available, even if a crime has not been reported to the police.</w:t>
            </w:r>
          </w:p>
        </w:tc>
        <w:tc>
          <w:tcPr>
            <w:tcW w:w="1275" w:type="dxa"/>
          </w:tcPr>
          <w:p w:rsidR="00B32E52" w:rsidRDefault="00B32E52" w:rsidP="004C3F66">
            <w:pPr>
              <w:spacing w:after="0" w:line="240" w:lineRule="auto"/>
              <w:rPr>
                <w:sz w:val="24"/>
                <w:szCs w:val="24"/>
              </w:rPr>
            </w:pPr>
          </w:p>
        </w:tc>
        <w:tc>
          <w:tcPr>
            <w:tcW w:w="1277" w:type="dxa"/>
          </w:tcPr>
          <w:p w:rsidR="00B32E52" w:rsidRDefault="00B32E52" w:rsidP="004C3F66">
            <w:pPr>
              <w:spacing w:after="0" w:line="240" w:lineRule="auto"/>
              <w:rPr>
                <w:sz w:val="24"/>
                <w:szCs w:val="24"/>
              </w:rPr>
            </w:pPr>
          </w:p>
        </w:tc>
        <w:tc>
          <w:tcPr>
            <w:tcW w:w="1416" w:type="dxa"/>
          </w:tcPr>
          <w:p w:rsidR="00B32E52" w:rsidRDefault="00B32E52" w:rsidP="004C3F66">
            <w:pPr>
              <w:spacing w:after="0" w:line="240" w:lineRule="auto"/>
              <w:rPr>
                <w:sz w:val="24"/>
                <w:szCs w:val="24"/>
              </w:rPr>
            </w:pPr>
          </w:p>
        </w:tc>
        <w:tc>
          <w:tcPr>
            <w:tcW w:w="1419" w:type="dxa"/>
          </w:tcPr>
          <w:p w:rsidR="00B32E52" w:rsidRDefault="00B32E52" w:rsidP="004C3F66">
            <w:pPr>
              <w:spacing w:after="0" w:line="240" w:lineRule="auto"/>
              <w:rPr>
                <w:sz w:val="24"/>
                <w:szCs w:val="24"/>
              </w:rPr>
            </w:pPr>
          </w:p>
        </w:tc>
        <w:tc>
          <w:tcPr>
            <w:tcW w:w="1365" w:type="dxa"/>
          </w:tcPr>
          <w:p w:rsidR="00B32E52" w:rsidRDefault="00B32E52" w:rsidP="004C3F66">
            <w:pPr>
              <w:spacing w:after="0" w:line="240" w:lineRule="auto"/>
              <w:rPr>
                <w:sz w:val="24"/>
                <w:szCs w:val="24"/>
              </w:rPr>
            </w:pPr>
          </w:p>
        </w:tc>
      </w:tr>
      <w:tr w:rsidR="00B32E52" w:rsidTr="004C3F66">
        <w:tc>
          <w:tcPr>
            <w:tcW w:w="2263" w:type="dxa"/>
          </w:tcPr>
          <w:p w:rsidR="00B32E52" w:rsidRDefault="00B32E52" w:rsidP="004C3F66">
            <w:pPr>
              <w:spacing w:after="0" w:line="240" w:lineRule="auto"/>
              <w:rPr>
                <w:rFonts w:eastAsia="Calibri"/>
                <w:sz w:val="24"/>
                <w:szCs w:val="24"/>
              </w:rPr>
            </w:pPr>
            <w:r>
              <w:rPr>
                <w:rFonts w:eastAsia="Calibri"/>
                <w:sz w:val="24"/>
                <w:szCs w:val="24"/>
              </w:rPr>
              <w:t>Specialist support should be available for victims of domestic abuse.</w:t>
            </w:r>
          </w:p>
          <w:p w:rsidR="00735302" w:rsidRDefault="00735302" w:rsidP="004C3F66">
            <w:pPr>
              <w:spacing w:after="0" w:line="240" w:lineRule="auto"/>
              <w:rPr>
                <w:sz w:val="24"/>
                <w:szCs w:val="24"/>
              </w:rPr>
            </w:pPr>
          </w:p>
        </w:tc>
        <w:tc>
          <w:tcPr>
            <w:tcW w:w="1275" w:type="dxa"/>
          </w:tcPr>
          <w:p w:rsidR="00B32E52" w:rsidRDefault="00B32E52" w:rsidP="004C3F66">
            <w:pPr>
              <w:spacing w:after="0" w:line="240" w:lineRule="auto"/>
              <w:rPr>
                <w:sz w:val="24"/>
                <w:szCs w:val="24"/>
              </w:rPr>
            </w:pPr>
          </w:p>
        </w:tc>
        <w:tc>
          <w:tcPr>
            <w:tcW w:w="1277" w:type="dxa"/>
          </w:tcPr>
          <w:p w:rsidR="00B32E52" w:rsidRDefault="00B32E52" w:rsidP="004C3F66">
            <w:pPr>
              <w:spacing w:after="0" w:line="240" w:lineRule="auto"/>
              <w:rPr>
                <w:sz w:val="24"/>
                <w:szCs w:val="24"/>
              </w:rPr>
            </w:pPr>
          </w:p>
        </w:tc>
        <w:tc>
          <w:tcPr>
            <w:tcW w:w="1416" w:type="dxa"/>
          </w:tcPr>
          <w:p w:rsidR="00B32E52" w:rsidRDefault="00B32E52" w:rsidP="004C3F66">
            <w:pPr>
              <w:spacing w:after="0" w:line="240" w:lineRule="auto"/>
              <w:rPr>
                <w:sz w:val="24"/>
                <w:szCs w:val="24"/>
              </w:rPr>
            </w:pPr>
          </w:p>
        </w:tc>
        <w:tc>
          <w:tcPr>
            <w:tcW w:w="1419" w:type="dxa"/>
          </w:tcPr>
          <w:p w:rsidR="00B32E52" w:rsidRDefault="00B32E52" w:rsidP="004C3F66">
            <w:pPr>
              <w:spacing w:after="0" w:line="240" w:lineRule="auto"/>
              <w:rPr>
                <w:sz w:val="24"/>
                <w:szCs w:val="24"/>
              </w:rPr>
            </w:pPr>
          </w:p>
        </w:tc>
        <w:tc>
          <w:tcPr>
            <w:tcW w:w="1365" w:type="dxa"/>
          </w:tcPr>
          <w:p w:rsidR="00B32E52" w:rsidRDefault="00B32E52" w:rsidP="004C3F66">
            <w:pPr>
              <w:spacing w:after="0" w:line="240" w:lineRule="auto"/>
              <w:rPr>
                <w:sz w:val="24"/>
                <w:szCs w:val="24"/>
              </w:rPr>
            </w:pPr>
          </w:p>
        </w:tc>
      </w:tr>
      <w:tr w:rsidR="00B32E52" w:rsidTr="004C3F66">
        <w:tc>
          <w:tcPr>
            <w:tcW w:w="2263" w:type="dxa"/>
          </w:tcPr>
          <w:p w:rsidR="00B32E52" w:rsidRDefault="00B32E52" w:rsidP="004C3F66">
            <w:pPr>
              <w:spacing w:after="0" w:line="240" w:lineRule="auto"/>
              <w:rPr>
                <w:sz w:val="24"/>
                <w:szCs w:val="24"/>
              </w:rPr>
            </w:pPr>
            <w:r>
              <w:rPr>
                <w:rFonts w:eastAsia="Calibri"/>
                <w:sz w:val="24"/>
                <w:szCs w:val="24"/>
              </w:rPr>
              <w:lastRenderedPageBreak/>
              <w:t>Drug and alcohol intervention services should be provided for those with substance misuse issues in order to reduce reoffending.</w:t>
            </w:r>
          </w:p>
        </w:tc>
        <w:tc>
          <w:tcPr>
            <w:tcW w:w="1275" w:type="dxa"/>
          </w:tcPr>
          <w:p w:rsidR="00B32E52" w:rsidRDefault="00B32E52" w:rsidP="004C3F66">
            <w:pPr>
              <w:spacing w:after="0" w:line="240" w:lineRule="auto"/>
              <w:rPr>
                <w:sz w:val="24"/>
                <w:szCs w:val="24"/>
              </w:rPr>
            </w:pPr>
          </w:p>
        </w:tc>
        <w:tc>
          <w:tcPr>
            <w:tcW w:w="1277" w:type="dxa"/>
          </w:tcPr>
          <w:p w:rsidR="00B32E52" w:rsidRDefault="00B32E52" w:rsidP="004C3F66">
            <w:pPr>
              <w:spacing w:after="0" w:line="240" w:lineRule="auto"/>
              <w:rPr>
                <w:sz w:val="24"/>
                <w:szCs w:val="24"/>
              </w:rPr>
            </w:pPr>
          </w:p>
        </w:tc>
        <w:tc>
          <w:tcPr>
            <w:tcW w:w="1416" w:type="dxa"/>
          </w:tcPr>
          <w:p w:rsidR="00B32E52" w:rsidRDefault="00B32E52" w:rsidP="004C3F66">
            <w:pPr>
              <w:spacing w:after="0" w:line="240" w:lineRule="auto"/>
              <w:rPr>
                <w:sz w:val="24"/>
                <w:szCs w:val="24"/>
              </w:rPr>
            </w:pPr>
          </w:p>
        </w:tc>
        <w:tc>
          <w:tcPr>
            <w:tcW w:w="1419" w:type="dxa"/>
          </w:tcPr>
          <w:p w:rsidR="00B32E52" w:rsidRDefault="00B32E52" w:rsidP="004C3F66">
            <w:pPr>
              <w:spacing w:after="0" w:line="240" w:lineRule="auto"/>
              <w:rPr>
                <w:sz w:val="24"/>
                <w:szCs w:val="24"/>
              </w:rPr>
            </w:pPr>
          </w:p>
        </w:tc>
        <w:tc>
          <w:tcPr>
            <w:tcW w:w="1365" w:type="dxa"/>
          </w:tcPr>
          <w:p w:rsidR="00B32E52" w:rsidRDefault="00B32E52" w:rsidP="004C3F66">
            <w:pPr>
              <w:spacing w:after="0" w:line="240" w:lineRule="auto"/>
              <w:rPr>
                <w:sz w:val="24"/>
                <w:szCs w:val="24"/>
              </w:rPr>
            </w:pPr>
          </w:p>
        </w:tc>
      </w:tr>
      <w:tr w:rsidR="00B32E52" w:rsidTr="004C3F66">
        <w:trPr>
          <w:trHeight w:val="1240"/>
        </w:trPr>
        <w:tc>
          <w:tcPr>
            <w:tcW w:w="2263" w:type="dxa"/>
          </w:tcPr>
          <w:p w:rsidR="00B32E52" w:rsidRDefault="00B32E52" w:rsidP="004C3F66">
            <w:pPr>
              <w:spacing w:after="0" w:line="240" w:lineRule="auto"/>
              <w:rPr>
                <w:sz w:val="24"/>
                <w:szCs w:val="24"/>
              </w:rPr>
            </w:pPr>
            <w:r>
              <w:rPr>
                <w:rFonts w:eastAsia="Calibri"/>
                <w:sz w:val="24"/>
                <w:szCs w:val="24"/>
              </w:rPr>
              <w:t>Specialist support should be available for victims of sexual abuse and violence.</w:t>
            </w:r>
          </w:p>
        </w:tc>
        <w:tc>
          <w:tcPr>
            <w:tcW w:w="1275" w:type="dxa"/>
          </w:tcPr>
          <w:p w:rsidR="00B32E52" w:rsidRDefault="00B32E52" w:rsidP="004C3F66">
            <w:pPr>
              <w:spacing w:after="0" w:line="240" w:lineRule="auto"/>
              <w:rPr>
                <w:sz w:val="24"/>
                <w:szCs w:val="24"/>
              </w:rPr>
            </w:pPr>
          </w:p>
        </w:tc>
        <w:tc>
          <w:tcPr>
            <w:tcW w:w="1277" w:type="dxa"/>
          </w:tcPr>
          <w:p w:rsidR="00B32E52" w:rsidRDefault="00B32E52" w:rsidP="004C3F66">
            <w:pPr>
              <w:spacing w:after="0" w:line="240" w:lineRule="auto"/>
              <w:rPr>
                <w:sz w:val="24"/>
                <w:szCs w:val="24"/>
              </w:rPr>
            </w:pPr>
          </w:p>
        </w:tc>
        <w:tc>
          <w:tcPr>
            <w:tcW w:w="1416" w:type="dxa"/>
          </w:tcPr>
          <w:p w:rsidR="00B32E52" w:rsidRDefault="00B32E52" w:rsidP="004C3F66">
            <w:pPr>
              <w:spacing w:after="0" w:line="240" w:lineRule="auto"/>
              <w:rPr>
                <w:sz w:val="24"/>
                <w:szCs w:val="24"/>
              </w:rPr>
            </w:pPr>
          </w:p>
        </w:tc>
        <w:tc>
          <w:tcPr>
            <w:tcW w:w="1419" w:type="dxa"/>
          </w:tcPr>
          <w:p w:rsidR="00B32E52" w:rsidRDefault="00B32E52" w:rsidP="004C3F66">
            <w:pPr>
              <w:spacing w:after="0" w:line="240" w:lineRule="auto"/>
              <w:rPr>
                <w:sz w:val="24"/>
                <w:szCs w:val="24"/>
              </w:rPr>
            </w:pPr>
          </w:p>
        </w:tc>
        <w:tc>
          <w:tcPr>
            <w:tcW w:w="1365" w:type="dxa"/>
          </w:tcPr>
          <w:p w:rsidR="00B32E52" w:rsidRDefault="00B32E52" w:rsidP="004C3F66">
            <w:pPr>
              <w:spacing w:after="0" w:line="240" w:lineRule="auto"/>
              <w:rPr>
                <w:sz w:val="24"/>
                <w:szCs w:val="24"/>
              </w:rPr>
            </w:pPr>
          </w:p>
        </w:tc>
      </w:tr>
      <w:tr w:rsidR="00B32E52" w:rsidTr="004C3F66">
        <w:tc>
          <w:tcPr>
            <w:tcW w:w="2263" w:type="dxa"/>
          </w:tcPr>
          <w:p w:rsidR="00B32E52" w:rsidRDefault="00B32E52" w:rsidP="004C3F66">
            <w:pPr>
              <w:spacing w:after="0" w:line="240" w:lineRule="auto"/>
              <w:rPr>
                <w:sz w:val="24"/>
                <w:szCs w:val="24"/>
              </w:rPr>
            </w:pPr>
            <w:r>
              <w:rPr>
                <w:rFonts w:eastAsia="Calibri"/>
                <w:sz w:val="24"/>
                <w:szCs w:val="24"/>
              </w:rPr>
              <w:t>A recovery service should be available for children who have suffered exploitation and sexual abuse</w:t>
            </w:r>
          </w:p>
        </w:tc>
        <w:tc>
          <w:tcPr>
            <w:tcW w:w="1275" w:type="dxa"/>
          </w:tcPr>
          <w:p w:rsidR="00B32E52" w:rsidRDefault="00B32E52" w:rsidP="004C3F66">
            <w:pPr>
              <w:spacing w:after="0" w:line="240" w:lineRule="auto"/>
              <w:rPr>
                <w:sz w:val="24"/>
                <w:szCs w:val="24"/>
              </w:rPr>
            </w:pPr>
          </w:p>
        </w:tc>
        <w:tc>
          <w:tcPr>
            <w:tcW w:w="1277" w:type="dxa"/>
          </w:tcPr>
          <w:p w:rsidR="00B32E52" w:rsidRDefault="00B32E52" w:rsidP="004C3F66">
            <w:pPr>
              <w:spacing w:after="0" w:line="240" w:lineRule="auto"/>
              <w:rPr>
                <w:sz w:val="24"/>
                <w:szCs w:val="24"/>
              </w:rPr>
            </w:pPr>
          </w:p>
        </w:tc>
        <w:tc>
          <w:tcPr>
            <w:tcW w:w="1416" w:type="dxa"/>
          </w:tcPr>
          <w:p w:rsidR="00B32E52" w:rsidRDefault="00B32E52" w:rsidP="004C3F66">
            <w:pPr>
              <w:spacing w:after="0" w:line="240" w:lineRule="auto"/>
              <w:rPr>
                <w:sz w:val="24"/>
                <w:szCs w:val="24"/>
              </w:rPr>
            </w:pPr>
          </w:p>
        </w:tc>
        <w:tc>
          <w:tcPr>
            <w:tcW w:w="1419" w:type="dxa"/>
          </w:tcPr>
          <w:p w:rsidR="00B32E52" w:rsidRDefault="00B32E52" w:rsidP="004C3F66">
            <w:pPr>
              <w:spacing w:after="0" w:line="240" w:lineRule="auto"/>
              <w:rPr>
                <w:sz w:val="24"/>
                <w:szCs w:val="24"/>
              </w:rPr>
            </w:pPr>
          </w:p>
        </w:tc>
        <w:tc>
          <w:tcPr>
            <w:tcW w:w="1365" w:type="dxa"/>
          </w:tcPr>
          <w:p w:rsidR="00B32E52" w:rsidRDefault="00B32E52" w:rsidP="004C3F66">
            <w:pPr>
              <w:spacing w:after="0" w:line="240" w:lineRule="auto"/>
              <w:rPr>
                <w:sz w:val="24"/>
                <w:szCs w:val="24"/>
              </w:rPr>
            </w:pPr>
          </w:p>
        </w:tc>
      </w:tr>
      <w:tr w:rsidR="00B32E52" w:rsidTr="004C3F66">
        <w:tc>
          <w:tcPr>
            <w:tcW w:w="2263" w:type="dxa"/>
          </w:tcPr>
          <w:p w:rsidR="00B32E52" w:rsidRDefault="00B32E52" w:rsidP="004C3F66">
            <w:pPr>
              <w:spacing w:after="0" w:line="240" w:lineRule="auto"/>
              <w:rPr>
                <w:sz w:val="24"/>
                <w:szCs w:val="24"/>
              </w:rPr>
            </w:pPr>
            <w:r>
              <w:rPr>
                <w:rFonts w:eastAsia="Calibri"/>
                <w:sz w:val="24"/>
                <w:szCs w:val="24"/>
              </w:rPr>
              <w:t>Any surplus generated through efficient delivery of retraining schemes for driving offences should be invested in road safety initiatives.</w:t>
            </w:r>
          </w:p>
        </w:tc>
        <w:tc>
          <w:tcPr>
            <w:tcW w:w="1275" w:type="dxa"/>
          </w:tcPr>
          <w:p w:rsidR="00B32E52" w:rsidRDefault="00B32E52" w:rsidP="004C3F66">
            <w:pPr>
              <w:spacing w:after="0" w:line="240" w:lineRule="auto"/>
              <w:rPr>
                <w:sz w:val="24"/>
                <w:szCs w:val="24"/>
              </w:rPr>
            </w:pPr>
          </w:p>
        </w:tc>
        <w:tc>
          <w:tcPr>
            <w:tcW w:w="1277" w:type="dxa"/>
          </w:tcPr>
          <w:p w:rsidR="00B32E52" w:rsidRDefault="00B32E52" w:rsidP="004C3F66">
            <w:pPr>
              <w:spacing w:after="0" w:line="240" w:lineRule="auto"/>
              <w:rPr>
                <w:sz w:val="24"/>
                <w:szCs w:val="24"/>
              </w:rPr>
            </w:pPr>
          </w:p>
        </w:tc>
        <w:tc>
          <w:tcPr>
            <w:tcW w:w="1416" w:type="dxa"/>
          </w:tcPr>
          <w:p w:rsidR="00B32E52" w:rsidRDefault="00B32E52" w:rsidP="004C3F66">
            <w:pPr>
              <w:spacing w:after="0" w:line="240" w:lineRule="auto"/>
              <w:rPr>
                <w:sz w:val="24"/>
                <w:szCs w:val="24"/>
              </w:rPr>
            </w:pPr>
          </w:p>
        </w:tc>
        <w:tc>
          <w:tcPr>
            <w:tcW w:w="1419" w:type="dxa"/>
          </w:tcPr>
          <w:p w:rsidR="00B32E52" w:rsidRDefault="00B32E52" w:rsidP="004C3F66">
            <w:pPr>
              <w:spacing w:after="0" w:line="240" w:lineRule="auto"/>
              <w:rPr>
                <w:sz w:val="24"/>
                <w:szCs w:val="24"/>
              </w:rPr>
            </w:pPr>
          </w:p>
        </w:tc>
        <w:tc>
          <w:tcPr>
            <w:tcW w:w="1365" w:type="dxa"/>
          </w:tcPr>
          <w:p w:rsidR="00B32E52" w:rsidRDefault="00B32E52" w:rsidP="004C3F66">
            <w:pPr>
              <w:spacing w:after="0" w:line="240" w:lineRule="auto"/>
              <w:rPr>
                <w:sz w:val="24"/>
                <w:szCs w:val="24"/>
              </w:rPr>
            </w:pPr>
          </w:p>
        </w:tc>
      </w:tr>
      <w:tr w:rsidR="00B32E52" w:rsidTr="004C3F66">
        <w:tc>
          <w:tcPr>
            <w:tcW w:w="2263" w:type="dxa"/>
          </w:tcPr>
          <w:p w:rsidR="00B32E52" w:rsidRDefault="00B32E52" w:rsidP="004C3F66">
            <w:pPr>
              <w:spacing w:after="0" w:line="240" w:lineRule="auto"/>
              <w:rPr>
                <w:sz w:val="24"/>
                <w:szCs w:val="24"/>
              </w:rPr>
            </w:pPr>
            <w:r>
              <w:rPr>
                <w:rFonts w:eastAsia="Calibri"/>
                <w:sz w:val="24"/>
                <w:szCs w:val="24"/>
              </w:rPr>
              <w:t>Grants should be available to help services involved in community safety cope with the impact of COVID-19.</w:t>
            </w:r>
          </w:p>
        </w:tc>
        <w:tc>
          <w:tcPr>
            <w:tcW w:w="1275" w:type="dxa"/>
          </w:tcPr>
          <w:p w:rsidR="00B32E52" w:rsidRDefault="00B32E52" w:rsidP="004C3F66">
            <w:pPr>
              <w:spacing w:after="0" w:line="240" w:lineRule="auto"/>
              <w:rPr>
                <w:sz w:val="24"/>
                <w:szCs w:val="24"/>
              </w:rPr>
            </w:pPr>
          </w:p>
        </w:tc>
        <w:tc>
          <w:tcPr>
            <w:tcW w:w="1277" w:type="dxa"/>
          </w:tcPr>
          <w:p w:rsidR="00B32E52" w:rsidRDefault="00B32E52" w:rsidP="004C3F66">
            <w:pPr>
              <w:spacing w:after="0" w:line="240" w:lineRule="auto"/>
              <w:rPr>
                <w:sz w:val="24"/>
                <w:szCs w:val="24"/>
              </w:rPr>
            </w:pPr>
          </w:p>
        </w:tc>
        <w:tc>
          <w:tcPr>
            <w:tcW w:w="1416" w:type="dxa"/>
          </w:tcPr>
          <w:p w:rsidR="00B32E52" w:rsidRDefault="00B32E52" w:rsidP="004C3F66">
            <w:pPr>
              <w:spacing w:after="0" w:line="240" w:lineRule="auto"/>
              <w:rPr>
                <w:sz w:val="24"/>
                <w:szCs w:val="24"/>
              </w:rPr>
            </w:pPr>
          </w:p>
        </w:tc>
        <w:tc>
          <w:tcPr>
            <w:tcW w:w="1419" w:type="dxa"/>
          </w:tcPr>
          <w:p w:rsidR="00B32E52" w:rsidRDefault="00B32E52" w:rsidP="004C3F66">
            <w:pPr>
              <w:spacing w:after="0" w:line="240" w:lineRule="auto"/>
              <w:rPr>
                <w:sz w:val="24"/>
                <w:szCs w:val="24"/>
              </w:rPr>
            </w:pPr>
          </w:p>
        </w:tc>
        <w:tc>
          <w:tcPr>
            <w:tcW w:w="1365" w:type="dxa"/>
          </w:tcPr>
          <w:p w:rsidR="00B32E52" w:rsidRDefault="00B32E52" w:rsidP="004C3F66">
            <w:pPr>
              <w:spacing w:after="0" w:line="240" w:lineRule="auto"/>
              <w:rPr>
                <w:sz w:val="24"/>
                <w:szCs w:val="24"/>
              </w:rPr>
            </w:pPr>
          </w:p>
        </w:tc>
      </w:tr>
      <w:tr w:rsidR="00B32E52" w:rsidTr="004C3F66">
        <w:tc>
          <w:tcPr>
            <w:tcW w:w="2263" w:type="dxa"/>
          </w:tcPr>
          <w:p w:rsidR="00B32E52" w:rsidRDefault="00B32E52" w:rsidP="004C3F66">
            <w:pPr>
              <w:spacing w:after="0" w:line="240" w:lineRule="auto"/>
              <w:rPr>
                <w:sz w:val="24"/>
                <w:szCs w:val="24"/>
              </w:rPr>
            </w:pPr>
            <w:r>
              <w:rPr>
                <w:rFonts w:eastAsia="Calibri"/>
                <w:sz w:val="24"/>
                <w:szCs w:val="24"/>
              </w:rPr>
              <w:t xml:space="preserve">Small grants should be available to support projects which help prevent or reduce crime or improve community safety overall. </w:t>
            </w:r>
          </w:p>
        </w:tc>
        <w:tc>
          <w:tcPr>
            <w:tcW w:w="1275" w:type="dxa"/>
          </w:tcPr>
          <w:p w:rsidR="00B32E52" w:rsidRDefault="00B32E52" w:rsidP="004C3F66">
            <w:pPr>
              <w:spacing w:after="0" w:line="240" w:lineRule="auto"/>
              <w:rPr>
                <w:sz w:val="24"/>
                <w:szCs w:val="24"/>
              </w:rPr>
            </w:pPr>
          </w:p>
        </w:tc>
        <w:tc>
          <w:tcPr>
            <w:tcW w:w="1277" w:type="dxa"/>
          </w:tcPr>
          <w:p w:rsidR="00B32E52" w:rsidRDefault="00B32E52" w:rsidP="004C3F66">
            <w:pPr>
              <w:spacing w:after="0" w:line="240" w:lineRule="auto"/>
              <w:rPr>
                <w:sz w:val="24"/>
                <w:szCs w:val="24"/>
              </w:rPr>
            </w:pPr>
          </w:p>
        </w:tc>
        <w:tc>
          <w:tcPr>
            <w:tcW w:w="1416" w:type="dxa"/>
          </w:tcPr>
          <w:p w:rsidR="00B32E52" w:rsidRDefault="00B32E52" w:rsidP="004C3F66">
            <w:pPr>
              <w:spacing w:after="0" w:line="240" w:lineRule="auto"/>
              <w:rPr>
                <w:sz w:val="24"/>
                <w:szCs w:val="24"/>
              </w:rPr>
            </w:pPr>
          </w:p>
        </w:tc>
        <w:tc>
          <w:tcPr>
            <w:tcW w:w="1419" w:type="dxa"/>
          </w:tcPr>
          <w:p w:rsidR="00B32E52" w:rsidRDefault="00B32E52" w:rsidP="004C3F66">
            <w:pPr>
              <w:spacing w:after="0" w:line="240" w:lineRule="auto"/>
              <w:rPr>
                <w:sz w:val="24"/>
                <w:szCs w:val="24"/>
              </w:rPr>
            </w:pPr>
          </w:p>
        </w:tc>
        <w:tc>
          <w:tcPr>
            <w:tcW w:w="1365" w:type="dxa"/>
          </w:tcPr>
          <w:p w:rsidR="00B32E52" w:rsidRDefault="00B32E52" w:rsidP="004C3F66">
            <w:pPr>
              <w:spacing w:after="0" w:line="240" w:lineRule="auto"/>
              <w:rPr>
                <w:sz w:val="24"/>
                <w:szCs w:val="24"/>
              </w:rPr>
            </w:pPr>
          </w:p>
        </w:tc>
      </w:tr>
      <w:tr w:rsidR="00B32E52" w:rsidTr="004C3F66">
        <w:tc>
          <w:tcPr>
            <w:tcW w:w="2263" w:type="dxa"/>
          </w:tcPr>
          <w:p w:rsidR="00B32E52" w:rsidRDefault="00B32E52" w:rsidP="004C3F66">
            <w:pPr>
              <w:spacing w:after="0" w:line="240" w:lineRule="auto"/>
              <w:rPr>
                <w:sz w:val="24"/>
                <w:szCs w:val="24"/>
              </w:rPr>
            </w:pPr>
            <w:r>
              <w:rPr>
                <w:rFonts w:eastAsia="Calibri"/>
                <w:sz w:val="24"/>
                <w:szCs w:val="24"/>
              </w:rPr>
              <w:t>Grants for initiatives that protect vulnerable people should be prioritised</w:t>
            </w:r>
          </w:p>
        </w:tc>
        <w:tc>
          <w:tcPr>
            <w:tcW w:w="1275" w:type="dxa"/>
          </w:tcPr>
          <w:p w:rsidR="00B32E52" w:rsidRDefault="00B32E52" w:rsidP="004C3F66">
            <w:pPr>
              <w:spacing w:after="0" w:line="240" w:lineRule="auto"/>
              <w:rPr>
                <w:sz w:val="24"/>
                <w:szCs w:val="24"/>
              </w:rPr>
            </w:pPr>
          </w:p>
        </w:tc>
        <w:tc>
          <w:tcPr>
            <w:tcW w:w="1277" w:type="dxa"/>
          </w:tcPr>
          <w:p w:rsidR="00B32E52" w:rsidRDefault="00B32E52" w:rsidP="004C3F66">
            <w:pPr>
              <w:spacing w:after="0" w:line="240" w:lineRule="auto"/>
              <w:rPr>
                <w:sz w:val="24"/>
                <w:szCs w:val="24"/>
              </w:rPr>
            </w:pPr>
          </w:p>
        </w:tc>
        <w:tc>
          <w:tcPr>
            <w:tcW w:w="1416" w:type="dxa"/>
          </w:tcPr>
          <w:p w:rsidR="00B32E52" w:rsidRDefault="00B32E52" w:rsidP="004C3F66">
            <w:pPr>
              <w:spacing w:after="0" w:line="240" w:lineRule="auto"/>
              <w:rPr>
                <w:sz w:val="24"/>
                <w:szCs w:val="24"/>
              </w:rPr>
            </w:pPr>
          </w:p>
        </w:tc>
        <w:tc>
          <w:tcPr>
            <w:tcW w:w="1419" w:type="dxa"/>
          </w:tcPr>
          <w:p w:rsidR="00B32E52" w:rsidRDefault="00B32E52" w:rsidP="004C3F66">
            <w:pPr>
              <w:spacing w:after="0" w:line="240" w:lineRule="auto"/>
              <w:rPr>
                <w:sz w:val="24"/>
                <w:szCs w:val="24"/>
              </w:rPr>
            </w:pPr>
          </w:p>
        </w:tc>
        <w:tc>
          <w:tcPr>
            <w:tcW w:w="1365" w:type="dxa"/>
          </w:tcPr>
          <w:p w:rsidR="00B32E52" w:rsidRDefault="00B32E52" w:rsidP="004C3F66">
            <w:pPr>
              <w:spacing w:after="0" w:line="240" w:lineRule="auto"/>
              <w:rPr>
                <w:sz w:val="24"/>
                <w:szCs w:val="24"/>
              </w:rPr>
            </w:pPr>
          </w:p>
        </w:tc>
      </w:tr>
    </w:tbl>
    <w:p w:rsidR="00B32E52" w:rsidRDefault="00B32E52" w:rsidP="00B32E52"/>
    <w:p w:rsidR="00B32E52" w:rsidRDefault="00B32E52" w:rsidP="00B32E52">
      <w:pPr>
        <w:rPr>
          <w:b/>
        </w:rPr>
      </w:pPr>
      <w:r>
        <w:rPr>
          <w:b/>
        </w:rPr>
        <w:lastRenderedPageBreak/>
        <w:t>Q16: In light of the challenging position public sector finances are likely to face over the next few years, how would you change the amount of funding allocated for grants and commissioned services?</w:t>
      </w:r>
    </w:p>
    <w:tbl>
      <w:tblPr>
        <w:tblStyle w:val="TableGrid"/>
        <w:tblW w:w="0" w:type="auto"/>
        <w:tblInd w:w="360" w:type="dxa"/>
        <w:tblLook w:val="04A0" w:firstRow="1" w:lastRow="0" w:firstColumn="1" w:lastColumn="0" w:noHBand="0" w:noVBand="1"/>
      </w:tblPr>
      <w:tblGrid>
        <w:gridCol w:w="1195"/>
        <w:gridCol w:w="7461"/>
      </w:tblGrid>
      <w:tr w:rsidR="00AE662E" w:rsidTr="004C3F66">
        <w:sdt>
          <w:sdtPr>
            <w:id w:val="-781269352"/>
            <w14:checkbox>
              <w14:checked w14:val="0"/>
              <w14:checkedState w14:val="2612" w14:font="MS Gothic"/>
              <w14:uncheckedState w14:val="2610" w14:font="MS Gothic"/>
            </w14:checkbox>
          </w:sdtPr>
          <w:sdtEndPr/>
          <w:sdtContent>
            <w:tc>
              <w:tcPr>
                <w:tcW w:w="1195" w:type="dxa"/>
              </w:tcPr>
              <w:p w:rsidR="00AE662E" w:rsidRDefault="00AE662E" w:rsidP="004C3F66">
                <w:r>
                  <w:rPr>
                    <w:rFonts w:ascii="MS Gothic" w:eastAsia="MS Gothic" w:hAnsi="MS Gothic" w:hint="eastAsia"/>
                  </w:rPr>
                  <w:t>☐</w:t>
                </w:r>
              </w:p>
            </w:tc>
          </w:sdtContent>
        </w:sdt>
        <w:tc>
          <w:tcPr>
            <w:tcW w:w="7461" w:type="dxa"/>
          </w:tcPr>
          <w:p w:rsidR="00AE662E" w:rsidRDefault="00AE662E" w:rsidP="00AE662E">
            <w:pPr>
              <w:ind w:left="360"/>
            </w:pPr>
            <w:r>
              <w:t>The funding should remain the same.</w:t>
            </w:r>
          </w:p>
        </w:tc>
      </w:tr>
      <w:tr w:rsidR="00AE662E" w:rsidTr="004C3F66">
        <w:sdt>
          <w:sdtPr>
            <w:id w:val="195199897"/>
            <w14:checkbox>
              <w14:checked w14:val="0"/>
              <w14:checkedState w14:val="2612" w14:font="MS Gothic"/>
              <w14:uncheckedState w14:val="2610" w14:font="MS Gothic"/>
            </w14:checkbox>
          </w:sdtPr>
          <w:sdtEndPr/>
          <w:sdtContent>
            <w:tc>
              <w:tcPr>
                <w:tcW w:w="1195" w:type="dxa"/>
              </w:tcPr>
              <w:p w:rsidR="00AE662E" w:rsidRDefault="00AE662E" w:rsidP="004C3F66">
                <w:r>
                  <w:rPr>
                    <w:rFonts w:ascii="MS Gothic" w:eastAsia="MS Gothic" w:hAnsi="MS Gothic" w:hint="eastAsia"/>
                  </w:rPr>
                  <w:t>☐</w:t>
                </w:r>
              </w:p>
            </w:tc>
          </w:sdtContent>
        </w:sdt>
        <w:tc>
          <w:tcPr>
            <w:tcW w:w="7461" w:type="dxa"/>
          </w:tcPr>
          <w:p w:rsidR="00AE662E" w:rsidRDefault="00AE662E" w:rsidP="00AE662E">
            <w:pPr>
              <w:ind w:left="360"/>
            </w:pPr>
            <w:r>
              <w:t>The funding should be increased.</w:t>
            </w:r>
          </w:p>
        </w:tc>
      </w:tr>
      <w:tr w:rsidR="00AE662E" w:rsidTr="004C3F66">
        <w:sdt>
          <w:sdtPr>
            <w:id w:val="-391661087"/>
            <w14:checkbox>
              <w14:checked w14:val="0"/>
              <w14:checkedState w14:val="2612" w14:font="MS Gothic"/>
              <w14:uncheckedState w14:val="2610" w14:font="MS Gothic"/>
            </w14:checkbox>
          </w:sdtPr>
          <w:sdtEndPr/>
          <w:sdtContent>
            <w:tc>
              <w:tcPr>
                <w:tcW w:w="1195" w:type="dxa"/>
              </w:tcPr>
              <w:p w:rsidR="00AE662E" w:rsidRDefault="00AE662E" w:rsidP="004C3F66">
                <w:r>
                  <w:rPr>
                    <w:rFonts w:ascii="MS Gothic" w:eastAsia="MS Gothic" w:hAnsi="MS Gothic" w:hint="eastAsia"/>
                  </w:rPr>
                  <w:t>☐</w:t>
                </w:r>
              </w:p>
            </w:tc>
          </w:sdtContent>
        </w:sdt>
        <w:tc>
          <w:tcPr>
            <w:tcW w:w="7461" w:type="dxa"/>
          </w:tcPr>
          <w:p w:rsidR="00AE662E" w:rsidRDefault="00AE662E" w:rsidP="00AE662E">
            <w:pPr>
              <w:ind w:left="360"/>
            </w:pPr>
            <w:r>
              <w:t>The funding should be decreased overall to put more into frontline policing.</w:t>
            </w:r>
          </w:p>
        </w:tc>
      </w:tr>
      <w:tr w:rsidR="00AE662E" w:rsidTr="004C3F66">
        <w:sdt>
          <w:sdtPr>
            <w:id w:val="-980848718"/>
            <w14:checkbox>
              <w14:checked w14:val="0"/>
              <w14:checkedState w14:val="2612" w14:font="MS Gothic"/>
              <w14:uncheckedState w14:val="2610" w14:font="MS Gothic"/>
            </w14:checkbox>
          </w:sdtPr>
          <w:sdtEndPr/>
          <w:sdtContent>
            <w:tc>
              <w:tcPr>
                <w:tcW w:w="1195" w:type="dxa"/>
              </w:tcPr>
              <w:p w:rsidR="00AE662E" w:rsidRDefault="00AE662E" w:rsidP="004C3F66">
                <w:r>
                  <w:rPr>
                    <w:rFonts w:ascii="MS Gothic" w:eastAsia="MS Gothic" w:hAnsi="MS Gothic" w:hint="eastAsia"/>
                  </w:rPr>
                  <w:t>☐</w:t>
                </w:r>
              </w:p>
            </w:tc>
          </w:sdtContent>
        </w:sdt>
        <w:tc>
          <w:tcPr>
            <w:tcW w:w="7461" w:type="dxa"/>
          </w:tcPr>
          <w:p w:rsidR="00AE662E" w:rsidRDefault="00AE662E" w:rsidP="00AE662E">
            <w:pPr>
              <w:ind w:left="360"/>
            </w:pPr>
            <w:r>
              <w:t>Priority should be given to commissioned services for victims of crime and those protecting the vulnerable but other grants should be decreased so that more funding is available for frontline policing.</w:t>
            </w:r>
          </w:p>
        </w:tc>
      </w:tr>
    </w:tbl>
    <w:p w:rsidR="00B32E52" w:rsidRDefault="00B32E52" w:rsidP="00B32E52"/>
    <w:p w:rsidR="00B32E52" w:rsidRDefault="00B32E52" w:rsidP="00B32E52">
      <w:pPr>
        <w:pStyle w:val="Heading3"/>
      </w:pPr>
      <w:r>
        <w:t>Any other comments</w:t>
      </w:r>
    </w:p>
    <w:p w:rsidR="00B32E52" w:rsidRDefault="00B32E52" w:rsidP="00B32E52">
      <w:r>
        <w:t>If you have any other comments or observations on policing priorities in Warwickshire or funding arrangements for policing, please enter them in the box below.</w:t>
      </w:r>
    </w:p>
    <w:p w:rsidR="00B32E52" w:rsidRDefault="00B32E52" w:rsidP="00AE662E">
      <w:pPr>
        <w:pStyle w:val="BodyText"/>
      </w:pPr>
      <w:r>
        <w:rPr>
          <w:noProof/>
          <w:lang w:eastAsia="en-GB"/>
        </w:rPr>
        <mc:AlternateContent>
          <mc:Choice Requires="wps">
            <w:drawing>
              <wp:anchor distT="45720" distB="45720" distL="114300" distR="114300" simplePos="0" relativeHeight="251659264" behindDoc="0" locked="0" layoutInCell="0" allowOverlap="1" wp14:anchorId="70181B89" wp14:editId="67E54091">
                <wp:simplePos x="0" y="0"/>
                <wp:positionH relativeFrom="column">
                  <wp:posOffset>-98425</wp:posOffset>
                </wp:positionH>
                <wp:positionV relativeFrom="paragraph">
                  <wp:posOffset>-11430</wp:posOffset>
                </wp:positionV>
                <wp:extent cx="5696585" cy="1530350"/>
                <wp:effectExtent l="0" t="0" r="19050" b="14605"/>
                <wp:wrapSquare wrapText="bothSides"/>
                <wp:docPr id="13" name="Text Box 2"/>
                <wp:cNvGraphicFramePr/>
                <a:graphic xmlns:a="http://schemas.openxmlformats.org/drawingml/2006/main">
                  <a:graphicData uri="http://schemas.microsoft.com/office/word/2010/wordprocessingShape">
                    <wps:wsp>
                      <wps:cNvSpPr/>
                      <wps:spPr>
                        <a:xfrm>
                          <a:off x="0" y="0"/>
                          <a:ext cx="5695920" cy="15296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txbxContent>
                      </wps:txbx>
                      <wps:bodyPr>
                        <a:spAutoFit/>
                      </wps:bodyPr>
                    </wps:wsp>
                  </a:graphicData>
                </a:graphic>
                <wp14:sizeRelV relativeFrom="margin">
                  <wp14:pctHeight>20000</wp14:pctHeight>
                </wp14:sizeRelV>
              </wp:anchor>
            </w:drawing>
          </mc:Choice>
          <mc:Fallback>
            <w:pict>
              <v:rect w14:anchorId="70181B89" id="Text Box 2" o:spid="_x0000_s1028" style="position:absolute;margin-left:-7.75pt;margin-top:-.9pt;width:448.55pt;height:120.5pt;z-index:251659264;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" o:allowincell="f">
                <v:textbox style="mso-fit-shape-to-text:t">
                  <w:txbxContent>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txbxContent>
                </v:textbox>
                <w10:wrap type="square"/>
              </v:rect>
            </w:pict>
          </mc:Fallback>
        </mc:AlternateContent>
      </w:r>
    </w:p>
    <w:p w:rsidR="00B32E52" w:rsidRDefault="00B32E52" w:rsidP="00B32E52">
      <w:pPr>
        <w:pStyle w:val="Heading3"/>
      </w:pPr>
      <w:r>
        <w:t>Thank you for completing the survey</w:t>
      </w:r>
    </w:p>
    <w:p w:rsidR="00B32E52" w:rsidRDefault="00B32E52" w:rsidP="00B32E52">
      <w:pPr>
        <w:pStyle w:val="BodyText"/>
      </w:pPr>
      <w:r>
        <w:t xml:space="preserve">That concludes our survey questions.  Your responses will be reviewed by the Police and Crime Commissioner and will help him to determine how best to formulate the policing budget for 2021/22. </w:t>
      </w:r>
    </w:p>
    <w:p w:rsidR="00B32E52" w:rsidRDefault="00B32E52" w:rsidP="00B32E52">
      <w:r>
        <w:t>A second consultation will take place in January 2021, once the details of the draft budget have been finalised.</w:t>
      </w:r>
    </w:p>
    <w:p w:rsidR="00B32E52" w:rsidRDefault="00B32E52" w:rsidP="00B32E52">
      <w:pPr>
        <w:pStyle w:val="Heading3"/>
      </w:pPr>
    </w:p>
    <w:p w:rsidR="00B32E52" w:rsidRDefault="00B32E52" w:rsidP="00B32E52">
      <w:r>
        <w:rPr>
          <w:noProof/>
          <w:lang w:eastAsia="en-GB"/>
        </w:rPr>
        <mc:AlternateContent>
          <mc:Choice Requires="wps">
            <w:drawing>
              <wp:anchor distT="45720" distB="45720" distL="0" distR="114300" simplePos="0" relativeHeight="251660288" behindDoc="0" locked="0" layoutInCell="0" allowOverlap="1" wp14:anchorId="60EAE6CC" wp14:editId="2EA4FE12">
                <wp:simplePos x="0" y="0"/>
                <wp:positionH relativeFrom="margin">
                  <wp:align>left</wp:align>
                </wp:positionH>
                <wp:positionV relativeFrom="paragraph">
                  <wp:posOffset>911860</wp:posOffset>
                </wp:positionV>
                <wp:extent cx="5695315" cy="295275"/>
                <wp:effectExtent l="0" t="0" r="19685" b="28575"/>
                <wp:wrapSquare wrapText="bothSides"/>
                <wp:docPr id="15" name="Text Box 2"/>
                <wp:cNvGraphicFramePr/>
                <a:graphic xmlns:a="http://schemas.openxmlformats.org/drawingml/2006/main">
                  <a:graphicData uri="http://schemas.microsoft.com/office/word/2010/wordprocessingShape">
                    <wps:wsp>
                      <wps:cNvSpPr/>
                      <wps:spPr>
                        <a:xfrm>
                          <a:off x="0" y="0"/>
                          <a:ext cx="5695315" cy="295275"/>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txbxContent>
                      </wps:txbx>
                      <wps:bodyPr wrap="square">
                        <a:noAutofit/>
                      </wps:bodyPr>
                    </wps:wsp>
                  </a:graphicData>
                </a:graphic>
                <wp14:sizeRelV relativeFrom="margin">
                  <wp14:pctHeight>0</wp14:pctHeight>
                </wp14:sizeRelV>
              </wp:anchor>
            </w:drawing>
          </mc:Choice>
          <mc:Fallback>
            <w:pict>
              <v:rect w14:anchorId="60EAE6CC" id="_x0000_s1029" style="position:absolute;margin-left:0;margin-top:71.8pt;width:448.45pt;height:23.25pt;z-index:251660288;visibility:visible;mso-wrap-style:square;mso-height-percent:0;mso-wrap-distance-left:0;mso-wrap-distance-top:3.6pt;mso-wrap-distance-right:9pt;mso-wrap-distance-bottom:3.6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" o:allowincell="f">
                <v:textbox>
                  <w:txbxContent>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p w:rsidR="00B32E52" w:rsidRDefault="00B32E52" w:rsidP="00B32E52">
                      <w:pPr>
                        <w:pStyle w:val="FrameContents"/>
                      </w:pPr>
                    </w:p>
                  </w:txbxContent>
                </v:textbox>
                <w10:wrap type="square" anchorx="margin"/>
              </v:rect>
            </w:pict>
          </mc:Fallback>
        </mc:AlternateContent>
      </w:r>
      <w:r>
        <w:t>If you would like to be kept informed about the results of this survey and take part in future consultations on policing in Warwickshire, please enter your email below.</w:t>
      </w:r>
    </w:p>
    <w:p w:rsidR="00B32E52" w:rsidRDefault="00B32E52" w:rsidP="00B32E52"/>
    <w:p w:rsidR="006541D7" w:rsidRDefault="00B32E52" w:rsidP="00B32E52">
      <w:pPr>
        <w:rPr>
          <w:rStyle w:val="Hyperlink"/>
        </w:rPr>
      </w:pPr>
      <w:r>
        <w:t xml:space="preserve">You can also </w:t>
      </w:r>
      <w:hyperlink r:id="rId7" w:tgtFrame="_blank">
        <w:r>
          <w:rPr>
            <w:rStyle w:val="Hyperlink"/>
          </w:rPr>
          <w:t>sign up to receive the Commissioner’s monthly newsletter</w:t>
        </w:r>
      </w:hyperlink>
    </w:p>
    <w:p w:rsidR="00735302" w:rsidRDefault="00735302" w:rsidP="00B32E52">
      <w:pPr>
        <w:rPr>
          <w:rStyle w:val="Hyperlink"/>
        </w:rPr>
      </w:pPr>
    </w:p>
    <w:p w:rsidR="00735302" w:rsidRDefault="00735302" w:rsidP="00735302">
      <w:r>
        <w:t xml:space="preserve">Completed forms can be emailed to </w:t>
      </w:r>
      <w:hyperlink r:id="rId8" w:history="1">
        <w:r w:rsidRPr="00735302">
          <w:rPr>
            <w:rStyle w:val="Hyperlink"/>
            <w:rFonts w:cstheme="minorBidi"/>
          </w:rPr>
          <w:t>opcc@warwickshire.pnn.police.uk</w:t>
        </w:r>
      </w:hyperlink>
      <w:r>
        <w:t xml:space="preserve"> or alternatively may be posted to:</w:t>
      </w:r>
    </w:p>
    <w:p w:rsidR="00735302" w:rsidRDefault="00735302" w:rsidP="00735302">
      <w:r>
        <w:t>Office of the Police and Crime Commissioner</w:t>
      </w:r>
    </w:p>
    <w:p w:rsidR="00735302" w:rsidRDefault="00735302" w:rsidP="00735302">
      <w:r>
        <w:t>3 Northgate Street</w:t>
      </w:r>
    </w:p>
    <w:p w:rsidR="00735302" w:rsidRDefault="00735302" w:rsidP="00735302">
      <w:r>
        <w:t>Warwick</w:t>
      </w:r>
    </w:p>
    <w:p w:rsidR="00735302" w:rsidRDefault="00735302" w:rsidP="00735302">
      <w:r>
        <w:t>CV34 4SP</w:t>
      </w:r>
    </w:p>
    <w:p w:rsidR="00735302" w:rsidRDefault="00735302" w:rsidP="00C757B6">
      <w:r>
        <w:t xml:space="preserve">Please note that </w:t>
      </w:r>
      <w:r w:rsidR="00C757B6">
        <w:t xml:space="preserve">emailed and </w:t>
      </w:r>
      <w:r>
        <w:t>postal responses must be received no later than Tuesday 5 January, 2021 in order to be included as part of the consultation results.</w:t>
      </w:r>
      <w:bookmarkStart w:id="0" w:name="_GoBack"/>
      <w:bookmarkEnd w:id="0"/>
    </w:p>
    <w:p w:rsidR="00735302" w:rsidRDefault="00735302" w:rsidP="00735302">
      <w:r>
        <w:t>Please contact the us on the email address above or by phone on 01926 412322 if you require the survey in a different format.</w:t>
      </w:r>
    </w:p>
    <w:sectPr w:rsidR="00735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9C7"/>
    <w:multiLevelType w:val="multilevel"/>
    <w:tmpl w:val="7702F8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C7B0BB6"/>
    <w:multiLevelType w:val="multilevel"/>
    <w:tmpl w:val="F04069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D0A69A7"/>
    <w:multiLevelType w:val="multilevel"/>
    <w:tmpl w:val="09E60AD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7320136"/>
    <w:multiLevelType w:val="multilevel"/>
    <w:tmpl w:val="4DEA66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4F8A1C09"/>
    <w:multiLevelType w:val="multilevel"/>
    <w:tmpl w:val="6082E8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1EA34D5"/>
    <w:multiLevelType w:val="multilevel"/>
    <w:tmpl w:val="199CE9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2320842"/>
    <w:multiLevelType w:val="multilevel"/>
    <w:tmpl w:val="1706B9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6AE2000"/>
    <w:multiLevelType w:val="multilevel"/>
    <w:tmpl w:val="ABCAEEA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58492030"/>
    <w:multiLevelType w:val="multilevel"/>
    <w:tmpl w:val="1EDEA5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5110B1E"/>
    <w:multiLevelType w:val="multilevel"/>
    <w:tmpl w:val="3A461E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D3D7EE2"/>
    <w:multiLevelType w:val="multilevel"/>
    <w:tmpl w:val="01E288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76752ABE"/>
    <w:multiLevelType w:val="multilevel"/>
    <w:tmpl w:val="E0DCE6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4"/>
  </w:num>
  <w:num w:numId="3">
    <w:abstractNumId w:val="7"/>
  </w:num>
  <w:num w:numId="4">
    <w:abstractNumId w:val="9"/>
  </w:num>
  <w:num w:numId="5">
    <w:abstractNumId w:val="8"/>
  </w:num>
  <w:num w:numId="6">
    <w:abstractNumId w:val="3"/>
  </w:num>
  <w:num w:numId="7">
    <w:abstractNumId w:val="5"/>
  </w:num>
  <w:num w:numId="8">
    <w:abstractNumId w:val="1"/>
  </w:num>
  <w:num w:numId="9">
    <w:abstractNumId w:val="0"/>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52"/>
    <w:rsid w:val="00321463"/>
    <w:rsid w:val="004D1F55"/>
    <w:rsid w:val="006541D7"/>
    <w:rsid w:val="00735302"/>
    <w:rsid w:val="00AE662E"/>
    <w:rsid w:val="00B32E52"/>
    <w:rsid w:val="00C757B6"/>
    <w:rsid w:val="00F33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AB834-16E9-4A15-84D3-F19CFC77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52"/>
    <w:pPr>
      <w:suppressAutoHyphens/>
      <w:spacing w:after="200" w:line="276" w:lineRule="auto"/>
    </w:pPr>
    <w:rPr>
      <w:sz w:val="28"/>
      <w:szCs w:val="28"/>
    </w:rPr>
  </w:style>
  <w:style w:type="paragraph" w:styleId="Heading1">
    <w:name w:val="heading 1"/>
    <w:basedOn w:val="Normal"/>
    <w:next w:val="Normal"/>
    <w:link w:val="Heading1Char"/>
    <w:uiPriority w:val="9"/>
    <w:qFormat/>
    <w:rsid w:val="00B32E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unhideWhenUsed/>
    <w:qFormat/>
    <w:rsid w:val="00B32E52"/>
    <w:pPr>
      <w:outlineLvl w:val="1"/>
    </w:pPr>
    <w:rPr>
      <w:rFonts w:asciiTheme="minorHAnsi" w:hAnsiTheme="minorHAnsi"/>
      <w:b/>
    </w:rPr>
  </w:style>
  <w:style w:type="paragraph" w:styleId="Heading3">
    <w:name w:val="heading 3"/>
    <w:basedOn w:val="Normal"/>
    <w:next w:val="Normal"/>
    <w:link w:val="Heading3Char"/>
    <w:uiPriority w:val="9"/>
    <w:unhideWhenUsed/>
    <w:qFormat/>
    <w:rsid w:val="00B32E52"/>
    <w:pPr>
      <w:keepNext/>
      <w:keepLines/>
      <w:spacing w:before="40" w:after="0"/>
      <w:outlineLvl w:val="2"/>
    </w:pPr>
    <w:rPr>
      <w:rFonts w:asciiTheme="majorHAnsi" w:eastAsiaTheme="majorEastAsia" w:hAnsiTheme="majorHAnsi" w:cstheme="majorBidi"/>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B32E52"/>
    <w:rPr>
      <w:rFonts w:eastAsiaTheme="majorEastAsia" w:cstheme="majorBidi"/>
      <w:b/>
      <w:i/>
      <w:color w:val="1F4D78" w:themeColor="accent1" w:themeShade="7F"/>
      <w:sz w:val="28"/>
      <w:szCs w:val="28"/>
    </w:rPr>
  </w:style>
  <w:style w:type="character" w:customStyle="1" w:styleId="Heading3Char">
    <w:name w:val="Heading 3 Char"/>
    <w:basedOn w:val="DefaultParagraphFont"/>
    <w:link w:val="Heading3"/>
    <w:uiPriority w:val="9"/>
    <w:qFormat/>
    <w:rsid w:val="00B32E52"/>
    <w:rPr>
      <w:rFonts w:asciiTheme="majorHAnsi" w:eastAsiaTheme="majorEastAsia" w:hAnsiTheme="majorHAnsi" w:cstheme="majorBidi"/>
      <w:i/>
      <w:color w:val="1F4D78" w:themeColor="accent1" w:themeShade="7F"/>
      <w:sz w:val="28"/>
      <w:szCs w:val="28"/>
    </w:rPr>
  </w:style>
  <w:style w:type="character" w:styleId="Hyperlink">
    <w:name w:val="Hyperlink"/>
    <w:basedOn w:val="DefaultParagraphFont"/>
    <w:uiPriority w:val="99"/>
    <w:rsid w:val="00B32E52"/>
    <w:rPr>
      <w:rFonts w:cs="Times New Roman"/>
      <w:color w:val="0000FF"/>
      <w:u w:val="single"/>
    </w:rPr>
  </w:style>
  <w:style w:type="paragraph" w:styleId="BodyText">
    <w:name w:val="Body Text"/>
    <w:basedOn w:val="Normal"/>
    <w:link w:val="BodyTextChar"/>
    <w:rsid w:val="00B32E52"/>
    <w:pPr>
      <w:spacing w:after="140"/>
    </w:pPr>
  </w:style>
  <w:style w:type="character" w:customStyle="1" w:styleId="BodyTextChar">
    <w:name w:val="Body Text Char"/>
    <w:basedOn w:val="DefaultParagraphFont"/>
    <w:link w:val="BodyText"/>
    <w:rsid w:val="00B32E52"/>
    <w:rPr>
      <w:sz w:val="28"/>
      <w:szCs w:val="28"/>
    </w:rPr>
  </w:style>
  <w:style w:type="paragraph" w:styleId="ListParagraph">
    <w:name w:val="List Paragraph"/>
    <w:basedOn w:val="Normal"/>
    <w:uiPriority w:val="99"/>
    <w:qFormat/>
    <w:rsid w:val="00B32E52"/>
    <w:pPr>
      <w:ind w:left="720"/>
      <w:contextualSpacing/>
    </w:pPr>
  </w:style>
  <w:style w:type="paragraph" w:customStyle="1" w:styleId="FrameContents">
    <w:name w:val="Frame Contents"/>
    <w:basedOn w:val="Normal"/>
    <w:qFormat/>
    <w:rsid w:val="00B32E52"/>
  </w:style>
  <w:style w:type="table" w:styleId="TableGrid">
    <w:name w:val="Table Grid"/>
    <w:basedOn w:val="TableNormal"/>
    <w:uiPriority w:val="59"/>
    <w:rsid w:val="00B32E52"/>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2E5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c@warwickshire.pnn.police.uk" TargetMode="External"/><Relationship Id="rId3" Type="http://schemas.openxmlformats.org/officeDocument/2006/relationships/settings" Target="settings.xml"/><Relationship Id="rId7" Type="http://schemas.openxmlformats.org/officeDocument/2006/relationships/hyperlink" Target="https://warwickshire-pcc.us9.list-manage.com/subscribe?u=ab4395fd0dda81296142cc9ad&amp;id=d7e75fb7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ouncil-tax-bands" TargetMode="External"/><Relationship Id="rId5" Type="http://schemas.openxmlformats.org/officeDocument/2006/relationships/hyperlink" Target="https://www.warwickshire-pcc.gov.uk/policies/privacy-policy/privacy-policy-public-consult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18C0BBD5</Template>
  <TotalTime>47</TotalTime>
  <Pages>12</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Tipton,Neil</dc:creator>
  <cp:keywords/>
  <dc:description/>
  <cp:lastModifiedBy>Tipton,Neil</cp:lastModifiedBy>
  <cp:revision>5</cp:revision>
  <dcterms:created xsi:type="dcterms:W3CDTF">2020-12-02T15:57:00Z</dcterms:created>
  <dcterms:modified xsi:type="dcterms:W3CDTF">2020-12-03T09:58:00Z</dcterms:modified>
</cp:coreProperties>
</file>