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C4FDA" w14:textId="77777777" w:rsidR="00A0248A" w:rsidRDefault="004408F5">
      <w:bookmarkStart w:id="0" w:name="_GoBack"/>
      <w:bookmarkEnd w:id="0"/>
      <w:r>
        <w:rPr>
          <w:noProof/>
          <w:lang w:eastAsia="en-GB"/>
        </w:rPr>
        <w:drawing>
          <wp:anchor distT="0" distB="0" distL="114300" distR="114300" simplePos="0" relativeHeight="251661312" behindDoc="0" locked="0" layoutInCell="1" allowOverlap="1" wp14:anchorId="3767B46B" wp14:editId="20814B95">
            <wp:simplePos x="0" y="0"/>
            <wp:positionH relativeFrom="column">
              <wp:posOffset>4666615</wp:posOffset>
            </wp:positionH>
            <wp:positionV relativeFrom="paragraph">
              <wp:posOffset>25400</wp:posOffset>
            </wp:positionV>
            <wp:extent cx="1724660" cy="739775"/>
            <wp:effectExtent l="0" t="0" r="889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H:\PoliceAndCrimeCommissioner\Admin\Logos\Police-and-Crime-Commissioner July 2013-logo-Final (1).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2466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144360450"/>
        <w:docPartObj>
          <w:docPartGallery w:val="Cover Pages"/>
          <w:docPartUnique/>
        </w:docPartObj>
      </w:sdtPr>
      <w:sdtEndPr>
        <w:rPr>
          <w:rFonts w:ascii="Arial" w:hAnsi="Arial" w:cs="Arial"/>
          <w:b/>
          <w:sz w:val="28"/>
          <w:szCs w:val="28"/>
        </w:rPr>
      </w:sdtEndPr>
      <w:sdtContent>
        <w:p w14:paraId="44D02DC5" w14:textId="77777777" w:rsidR="00495AB6" w:rsidRDefault="0052664B">
          <w:r>
            <w:rPr>
              <w:noProof/>
              <w:lang w:eastAsia="en-GB"/>
            </w:rPr>
            <mc:AlternateContent>
              <mc:Choice Requires="wps">
                <w:drawing>
                  <wp:anchor distT="0" distB="0" distL="114300" distR="114300" simplePos="0" relativeHeight="251659264" behindDoc="0" locked="0" layoutInCell="1" allowOverlap="1" wp14:anchorId="1B3D5D63" wp14:editId="1C3452AB">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216525" cy="10261600"/>
                    <wp:effectExtent l="0" t="0" r="3175" b="381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6525" cy="102616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589803" w14:textId="77777777" w:rsidR="00EE66E2" w:rsidRDefault="001B3EDF">
                                <w:pPr>
                                  <w:spacing w:before="240"/>
                                  <w:ind w:left="720"/>
                                  <w:jc w:val="right"/>
                                  <w:rPr>
                                    <w:rFonts w:asciiTheme="majorHAnsi" w:eastAsiaTheme="majorEastAsia" w:hAnsiTheme="majorHAnsi" w:cstheme="majorBidi"/>
                                    <w:caps/>
                                    <w:color w:val="FFFFFF" w:themeColor="background1"/>
                                    <w:spacing w:val="5"/>
                                    <w:kern w:val="28"/>
                                    <w:sz w:val="56"/>
                                    <w:szCs w:val="72"/>
                                    <w:lang w:val="en-US" w:eastAsia="ja-JP"/>
                                  </w:rPr>
                                </w:pPr>
                                <w:r>
                                  <w:rPr>
                                    <w:rFonts w:asciiTheme="majorHAnsi" w:eastAsiaTheme="majorEastAsia" w:hAnsiTheme="majorHAnsi" w:cstheme="majorBidi"/>
                                    <w:caps/>
                                    <w:color w:val="FFFFFF" w:themeColor="background1"/>
                                    <w:spacing w:val="5"/>
                                    <w:kern w:val="28"/>
                                    <w:sz w:val="56"/>
                                    <w:szCs w:val="72"/>
                                    <w:lang w:val="en-US" w:eastAsia="ja-JP"/>
                                  </w:rPr>
                                  <w:t>decision making process</w:t>
                                </w:r>
                              </w:p>
                              <w:p w14:paraId="2AE16081" w14:textId="04D87EA5" w:rsidR="00495AB6" w:rsidRPr="007E55F2" w:rsidRDefault="000D4C86">
                                <w:pPr>
                                  <w:spacing w:before="240"/>
                                  <w:ind w:left="720"/>
                                  <w:jc w:val="right"/>
                                  <w:rPr>
                                    <w:b/>
                                    <w:color w:val="FFFFFF" w:themeColor="background1"/>
                                  </w:rPr>
                                </w:pPr>
                                <w:r>
                                  <w:rPr>
                                    <w:b/>
                                    <w:color w:val="FFFFFF" w:themeColor="background1"/>
                                  </w:rPr>
                                  <w:t>April 2020</w:t>
                                </w:r>
                                <w:r w:rsidR="000968B2">
                                  <w:rPr>
                                    <w:b/>
                                    <w:color w:val="FFFFFF" w:themeColor="background1"/>
                                  </w:rPr>
                                  <w:t xml:space="preserve"> </w:t>
                                </w:r>
                              </w:p>
                              <w:sdt>
                                <w:sdtPr>
                                  <w:rPr>
                                    <w:b/>
                                    <w:color w:val="FFFFFF" w:themeColor="background1"/>
                                    <w:sz w:val="36"/>
                                    <w:szCs w:val="36"/>
                                  </w:rPr>
                                  <w:alias w:val="Abstract"/>
                                  <w:id w:val="307982498"/>
                                  <w:dataBinding w:prefixMappings="xmlns:ns0='http://schemas.microsoft.com/office/2006/coverPageProps'" w:xpath="/ns0:CoverPageProperties[1]/ns0:Abstract[1]" w:storeItemID="{55AF091B-3C7A-41E3-B477-F2FDAA23CFDA}"/>
                                  <w:text/>
                                </w:sdtPr>
                                <w:sdtEndPr/>
                                <w:sdtContent>
                                  <w:p w14:paraId="233FEEA3" w14:textId="77777777" w:rsidR="00495AB6" w:rsidRPr="007E55F2" w:rsidRDefault="00091C63">
                                    <w:pPr>
                                      <w:spacing w:before="240"/>
                                      <w:ind w:left="1008"/>
                                      <w:jc w:val="right"/>
                                      <w:rPr>
                                        <w:b/>
                                        <w:color w:val="FFFFFF" w:themeColor="background1"/>
                                        <w:sz w:val="36"/>
                                        <w:szCs w:val="36"/>
                                      </w:rPr>
                                    </w:pPr>
                                    <w:r>
                                      <w:rPr>
                                        <w:b/>
                                        <w:color w:val="FFFFFF" w:themeColor="background1"/>
                                        <w:sz w:val="36"/>
                                        <w:szCs w:val="36"/>
                                      </w:rPr>
                                      <w:t>Office of the</w:t>
                                    </w:r>
                                    <w:r w:rsidR="00380A01" w:rsidRPr="007E55F2">
                                      <w:rPr>
                                        <w:b/>
                                        <w:color w:val="FFFFFF" w:themeColor="background1"/>
                                        <w:sz w:val="36"/>
                                        <w:szCs w:val="36"/>
                                      </w:rPr>
                                      <w:t xml:space="preserve"> Police and Crime Commissioner</w:t>
                                    </w:r>
                                    <w:r>
                                      <w:rPr>
                                        <w:b/>
                                        <w:color w:val="FFFFFF" w:themeColor="background1"/>
                                        <w:sz w:val="36"/>
                                        <w:szCs w:val="36"/>
                                      </w:rPr>
                                      <w:t xml:space="preserve"> for Warwickshire</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1B3D5D63" id="Rectangle 47" o:spid="_x0000_s1026" style="position:absolute;margin-left:0;margin-top:0;width:410.75pt;height:808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KcmwIAAHwFAAAOAAAAZHJzL2Uyb0RvYy54bWysVEtv2zAMvg/YfxB0X/1YknZGnSJo0WFA&#10;0BZth54VWYqNyaImKbGzXz9Kdtz1gR2G+SCIIvmR/Ezy/KJvFdkL6xrQJc1OUkqE5lA1elvS74/X&#10;n84ocZ7piinQoqQH4ejF8uOH884UIocaVCUsQRDtis6UtPbeFEnieC1a5k7ACI1KCbZlHkW7TSrL&#10;OkRvVZKn6SLpwFbGAhfO4evVoKTLiC+l4P5WSic8USXF3Hw8bTw34UyW56zYWmbqho9psH/IomWN&#10;xqAT1BXzjOxs8waqbbgFB9KfcGgTkLLhItaA1WTpq2oeamZErAXJcWaiyf0/WH6zv7OkqUo6O6VE&#10;sxb/0T2yxvRWCYJvSFBnXIF2D+bOhhKdWQP/4VCRvNAEwY02vbRtsMUCSR/ZPkxsi94Tjo/zPFvM&#10;8zklHHVZmi+yRRp/SMKKo7+xzn8V0JJwKanFzCLNbL92PmTAiqNJCKd0ODVcN0oN2vAS0xwyizn6&#10;gxKD9b2QWDvmkkfU2HXiUlmyZ9gvjHOhfTaoalaJ4Xme4hd4weCTR5SURsCALDH+hD0ChI5+iz3A&#10;jPbBVcSmnZzTvyU2OE8eMTJoPzm3jQb7HoDCqsbIg/2RpIGawJLvNz2ahOsGqgM2iYVhepzh1w3+&#10;jjVz/o5ZHBccLFwB/hYPqaArKYw3Smqwv957D/bYxailpMPxK6n7uWNWUKK+aezv/HT2OQ8DG6Uv&#10;2WyGnBP7QreJ0mx+Ggz1rr0E/GkZ7hvD4zU4eHW8SgvtEy6LVQiMKqY5hi8p9/YoXPphM+C64WK1&#10;imY4pob5tX4wPIAHjkPHPfZPzJqxLT229A0cp5UVr7pzsA2eGlY7D7KJrftM7cg+jnhso3EdhR3y&#10;pxytnpfm8jcAAAD//wMAUEsDBBQABgAIAAAAIQBntP8K3gAAAAYBAAAPAAAAZHJzL2Rvd25yZXYu&#10;eG1sTI9BT4NAEIXvJv0PmzHxZheoEoIsTdPGg6bGWL14W9gRiOwsYbcF++sdvehlksl78+Z7xXq2&#10;vTjh6DtHCuJlBAKpdqajRsHb6/11BsIHTUb3jlDBF3pYl4uLQufGTfSCp0NoBIeQz7WCNoQhl9LX&#10;LVrtl25AYu3DjVYHXsdGmlFPHG57mURRKq3uiD+0esBti/Xn4WgZY8qq59VmVYfEPt24/ePu/P6w&#10;U+rqct7cgQg4hz8z/ODzDZTMVLkjGS96BVwk/E7WsiS+BVGxKY3TCGRZyP/45TcAAAD//wMAUEsB&#10;Ai0AFAAGAAgAAAAhALaDOJL+AAAA4QEAABMAAAAAAAAAAAAAAAAAAAAAAFtDb250ZW50X1R5cGVz&#10;XS54bWxQSwECLQAUAAYACAAAACEAOP0h/9YAAACUAQAACwAAAAAAAAAAAAAAAAAvAQAAX3JlbHMv&#10;LnJlbHNQSwECLQAUAAYACAAAACEA2KSCnJsCAAB8BQAADgAAAAAAAAAAAAAAAAAuAgAAZHJzL2Uy&#10;b0RvYy54bWxQSwECLQAUAAYACAAAACEAZ7T/Ct4AAAAGAQAADwAAAAAAAAAAAAAAAAD1BAAAZHJz&#10;L2Rvd25yZXYueG1sUEsFBgAAAAAEAAQA8wAAAAAGAAAAAA==&#10;" fillcolor="#4f81bd [3204]" stroked="f" strokeweight="2pt">
                    <v:path arrowok="t"/>
                    <v:textbox inset="21.6pt,1in,21.6pt">
                      <w:txbxContent>
                        <w:p w14:paraId="29589803" w14:textId="77777777" w:rsidR="00EE66E2" w:rsidRDefault="001B3EDF">
                          <w:pPr>
                            <w:spacing w:before="240"/>
                            <w:ind w:left="720"/>
                            <w:jc w:val="right"/>
                            <w:rPr>
                              <w:rFonts w:asciiTheme="majorHAnsi" w:eastAsiaTheme="majorEastAsia" w:hAnsiTheme="majorHAnsi" w:cstheme="majorBidi"/>
                              <w:caps/>
                              <w:color w:val="FFFFFF" w:themeColor="background1"/>
                              <w:spacing w:val="5"/>
                              <w:kern w:val="28"/>
                              <w:sz w:val="56"/>
                              <w:szCs w:val="72"/>
                              <w:lang w:val="en-US" w:eastAsia="ja-JP"/>
                            </w:rPr>
                          </w:pPr>
                          <w:r>
                            <w:rPr>
                              <w:rFonts w:asciiTheme="majorHAnsi" w:eastAsiaTheme="majorEastAsia" w:hAnsiTheme="majorHAnsi" w:cstheme="majorBidi"/>
                              <w:caps/>
                              <w:color w:val="FFFFFF" w:themeColor="background1"/>
                              <w:spacing w:val="5"/>
                              <w:kern w:val="28"/>
                              <w:sz w:val="56"/>
                              <w:szCs w:val="72"/>
                              <w:lang w:val="en-US" w:eastAsia="ja-JP"/>
                            </w:rPr>
                            <w:t>decision making process</w:t>
                          </w:r>
                        </w:p>
                        <w:p w14:paraId="2AE16081" w14:textId="04D87EA5" w:rsidR="00495AB6" w:rsidRPr="007E55F2" w:rsidRDefault="000D4C86">
                          <w:pPr>
                            <w:spacing w:before="240"/>
                            <w:ind w:left="720"/>
                            <w:jc w:val="right"/>
                            <w:rPr>
                              <w:b/>
                              <w:color w:val="FFFFFF" w:themeColor="background1"/>
                            </w:rPr>
                          </w:pPr>
                          <w:r>
                            <w:rPr>
                              <w:b/>
                              <w:color w:val="FFFFFF" w:themeColor="background1"/>
                            </w:rPr>
                            <w:t>April 2020</w:t>
                          </w:r>
                          <w:r w:rsidR="000968B2">
                            <w:rPr>
                              <w:b/>
                              <w:color w:val="FFFFFF" w:themeColor="background1"/>
                            </w:rPr>
                            <w:t xml:space="preserve"> </w:t>
                          </w:r>
                        </w:p>
                        <w:sdt>
                          <w:sdtPr>
                            <w:rPr>
                              <w:b/>
                              <w:color w:val="FFFFFF" w:themeColor="background1"/>
                              <w:sz w:val="36"/>
                              <w:szCs w:val="36"/>
                            </w:rPr>
                            <w:alias w:val="Abstract"/>
                            <w:id w:val="307982498"/>
                            <w:dataBinding w:prefixMappings="xmlns:ns0='http://schemas.microsoft.com/office/2006/coverPageProps'" w:xpath="/ns0:CoverPageProperties[1]/ns0:Abstract[1]" w:storeItemID="{55AF091B-3C7A-41E3-B477-F2FDAA23CFDA}"/>
                            <w:text/>
                          </w:sdtPr>
                          <w:sdtEndPr/>
                          <w:sdtContent>
                            <w:p w14:paraId="233FEEA3" w14:textId="77777777" w:rsidR="00495AB6" w:rsidRPr="007E55F2" w:rsidRDefault="00091C63">
                              <w:pPr>
                                <w:spacing w:before="240"/>
                                <w:ind w:left="1008"/>
                                <w:jc w:val="right"/>
                                <w:rPr>
                                  <w:b/>
                                  <w:color w:val="FFFFFF" w:themeColor="background1"/>
                                  <w:sz w:val="36"/>
                                  <w:szCs w:val="36"/>
                                </w:rPr>
                              </w:pPr>
                              <w:r>
                                <w:rPr>
                                  <w:b/>
                                  <w:color w:val="FFFFFF" w:themeColor="background1"/>
                                  <w:sz w:val="36"/>
                                  <w:szCs w:val="36"/>
                                </w:rPr>
                                <w:t>Office of the</w:t>
                              </w:r>
                              <w:r w:rsidR="00380A01" w:rsidRPr="007E55F2">
                                <w:rPr>
                                  <w:b/>
                                  <w:color w:val="FFFFFF" w:themeColor="background1"/>
                                  <w:sz w:val="36"/>
                                  <w:szCs w:val="36"/>
                                </w:rPr>
                                <w:t xml:space="preserve"> Police and Crime Commissioner</w:t>
                              </w:r>
                              <w:r>
                                <w:rPr>
                                  <w:b/>
                                  <w:color w:val="FFFFFF" w:themeColor="background1"/>
                                  <w:sz w:val="36"/>
                                  <w:szCs w:val="36"/>
                                </w:rPr>
                                <w:t xml:space="preserve"> for Warwickshire</w:t>
                              </w:r>
                            </w:p>
                          </w:sdtContent>
                        </w:sdt>
                      </w:txbxContent>
                    </v:textbox>
                    <w10:wrap anchorx="page" anchory="page"/>
                  </v:rect>
                </w:pict>
              </mc:Fallback>
            </mc:AlternateContent>
          </w:r>
          <w:r>
            <w:rPr>
              <w:noProof/>
              <w:lang w:eastAsia="en-GB"/>
            </w:rPr>
            <mc:AlternateContent>
              <mc:Choice Requires="wps">
                <w:drawing>
                  <wp:anchor distT="0" distB="0" distL="114300" distR="114300" simplePos="0" relativeHeight="251660288" behindDoc="0" locked="0" layoutInCell="1" allowOverlap="1" wp14:anchorId="1E542A56" wp14:editId="1DE8F245">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29435" cy="10261600"/>
                    <wp:effectExtent l="0" t="0" r="0" b="381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1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8DF2FF" w14:textId="77777777" w:rsidR="00495AB6" w:rsidRDefault="00495AB6">
                                <w:pPr>
                                  <w:pStyle w:val="Subtitle"/>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1E542A56" id="Rectangle 48" o:spid="_x0000_s1027" style="position:absolute;margin-left:0;margin-top:0;width:144.05pt;height:808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NKqwIAALUFAAAOAAAAZHJzL2Uyb0RvYy54bWysVEtP3DAQvlfqf7B8L3kU6BKRRSsQVaUV&#10;IKDi7HXsTVTH49reTba/vmPnwaOoh6o5WBnPN988PDPnF32ryF5Y14AuaXaUUiI0h6rR25J+f7z+&#10;tKDEeaYrpkCLkh6EoxfLjx/OO1OIHGpQlbAESbQrOlPS2ntTJInjtWiZOwIjNCol2JZ5FO02qSzr&#10;kL1VSZ6mp0kHtjIWuHAOb68GJV1GfikF97dSOuGJKinG5uNp47kJZ7I8Z8XWMlM3fAyD/UMULWs0&#10;Op2prphnZGebP6jahltwIP0RhzYBKRsuYg6YTZa+yeahZkbEXLA4zsxlcv+Plt/s7yxpqpIe40tp&#10;1uIb3WPVmN4qQfAOC9QZVyDuwdzZkKIza+A/HCqSV5oguBHTS9sGLCZI+ljtw1xt0XvC8TJb5GfH&#10;n08o4ajL0vw0O03jgySsmOyNdf6rgJaEn5JajCyWme3XzocIWDFBYmigmuq6USoKoYfEpbJkz/D1&#10;fZ+HZNDCvUQpHbAagtWgDjcxsyGZmJY/KBFwSt8LieXC8PMYSGzUZyeMc6F9NqhqVonB90mK3+R9&#10;CivGEgkDs0T/M/dIMCEHkol7iHLEB1MR+3w2Tv8W2GA8W0TPoP1s3DYa7HsECrMaPQ/4qUhDaUKV&#10;fL/pYytFZLjZQHXA9rIwzJ0z/LrBh1wz5++YxUHDkcTl4W/xkAq6ksL4R0kN9td79wGP/Y9aSjoc&#10;3JK6nztmBSXqm8bJwLZaLMKoR+n45EuOgn2l2rxU6V17CdgfGS4qw+NvMPBq+pUW2ifcMqvgF1VM&#10;c/ReUu7tJFz6YaXgnuJitYownG/D/Fo/GB7IQ6VDqz72T8yasZ89zsINTGPOijdtPWCDpYbVzoNs&#10;Ys8/V3Z8A9wNsZnGPRaWz0s5op637fI3AAAA//8DAFBLAwQUAAYACAAAACEAxblUSdwAAAAGAQAA&#10;DwAAAGRycy9kb3ducmV2LnhtbEyPwWrDMBBE74X+g9hCb43sHIxxLYcQUigtBJr2AxRrYzuWVsaS&#10;Hefvu+2lvQwsM8y8LTeLs2LGMXSeFKSrBARS7U1HjYKvz5enHESImoy2nlDBDQNsqvu7UhfGX+kD&#10;52NsBJdQKLSCNsahkDLULTodVn5AYu/sR6cjn2MjzaivXO6sXCdJJp3uiBdaPeCuxbo/Tk7BcH57&#10;D7dp2V/2l4Ot08Pcv/azUo8Py/YZRMQl/oXhB5/RoWKmk5/IBGEV8CPxV9lb53kK4sShLM0SkFUp&#10;/+NX3wAAAP//AwBQSwECLQAUAAYACAAAACEAtoM4kv4AAADhAQAAEwAAAAAAAAAAAAAAAAAAAAAA&#10;W0NvbnRlbnRfVHlwZXNdLnhtbFBLAQItABQABgAIAAAAIQA4/SH/1gAAAJQBAAALAAAAAAAAAAAA&#10;AAAAAC8BAABfcmVscy8ucmVsc1BLAQItABQABgAIAAAAIQCMTNNKqwIAALUFAAAOAAAAAAAAAAAA&#10;AAAAAC4CAABkcnMvZTJvRG9jLnhtbFBLAQItABQABgAIAAAAIQDFuVRJ3AAAAAYBAAAPAAAAAAAA&#10;AAAAAAAAAAUFAABkcnMvZG93bnJldi54bWxQSwUGAAAAAAQABADzAAAADgYAAAAA&#10;" fillcolor="#1f497d [3215]" stroked="f" strokeweight="2pt">
                    <v:path arrowok="t"/>
                    <v:textbox inset="14.4pt,,14.4pt">
                      <w:txbxContent>
                        <w:p w14:paraId="6C8DF2FF" w14:textId="77777777" w:rsidR="00495AB6" w:rsidRDefault="00495AB6">
                          <w:pPr>
                            <w:pStyle w:val="Subtitle"/>
                            <w:rPr>
                              <w:color w:val="FFFFFF" w:themeColor="background1"/>
                            </w:rPr>
                          </w:pPr>
                        </w:p>
                      </w:txbxContent>
                    </v:textbox>
                    <w10:wrap anchorx="page" anchory="page"/>
                  </v:rect>
                </w:pict>
              </mc:Fallback>
            </mc:AlternateContent>
          </w:r>
        </w:p>
        <w:p w14:paraId="0178B4AA" w14:textId="77777777" w:rsidR="00495AB6" w:rsidRDefault="00495AB6"/>
        <w:p w14:paraId="0EB785EC" w14:textId="77777777" w:rsidR="000E3BAC" w:rsidRDefault="00495AB6" w:rsidP="008E3387">
          <w:pPr>
            <w:spacing w:after="0" w:line="240" w:lineRule="auto"/>
            <w:ind w:right="-694"/>
            <w:rPr>
              <w:rFonts w:ascii="Arial" w:hAnsi="Arial" w:cs="Arial"/>
              <w:b/>
              <w:sz w:val="28"/>
              <w:szCs w:val="28"/>
            </w:rPr>
          </w:pPr>
          <w:r>
            <w:rPr>
              <w:noProof/>
              <w:lang w:eastAsia="en-GB"/>
            </w:rPr>
            <w:drawing>
              <wp:inline distT="0" distB="0" distL="0" distR="0" wp14:anchorId="0CA3106B" wp14:editId="66B99A0F">
                <wp:extent cx="2101932" cy="1306286"/>
                <wp:effectExtent l="0" t="0" r="0" b="8255"/>
                <wp:docPr id="3" name="Picture 3" descr="H:\PoliceAndCrimeCommissioner\Admin\Logos\Police-and-Crime-Commissioner July 2013-logo-Final (1).jpg"/>
                <wp:cNvGraphicFramePr/>
                <a:graphic xmlns:a="http://schemas.openxmlformats.org/drawingml/2006/main">
                  <a:graphicData uri="http://schemas.openxmlformats.org/drawingml/2006/picture">
                    <pic:pic xmlns:pic="http://schemas.openxmlformats.org/drawingml/2006/picture">
                      <pic:nvPicPr>
                        <pic:cNvPr id="1" name="Picture 1" descr="H:\PoliceAndCrimeCommissioner\Admin\Logos\Police-and-Crime-Commissioner July 2013-logo-Final (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6770" cy="1303078"/>
                        </a:xfrm>
                        <a:prstGeom prst="rect">
                          <a:avLst/>
                        </a:prstGeom>
                        <a:noFill/>
                        <a:ln>
                          <a:noFill/>
                        </a:ln>
                      </pic:spPr>
                    </pic:pic>
                  </a:graphicData>
                </a:graphic>
              </wp:inline>
            </w:drawing>
          </w:r>
          <w:r>
            <w:rPr>
              <w:noProof/>
              <w:lang w:eastAsia="en-GB"/>
            </w:rPr>
            <w:drawing>
              <wp:inline distT="0" distB="0" distL="0" distR="0" wp14:anchorId="79580C56" wp14:editId="41DE25BF">
                <wp:extent cx="2101932" cy="1306286"/>
                <wp:effectExtent l="0" t="0" r="0" b="8255"/>
                <wp:docPr id="4" name="Picture 4" descr="H:\PoliceAndCrimeCommissioner\Admin\Logos\Police-and-Crime-Commissioner July 2013-logo-Final (1).jpg"/>
                <wp:cNvGraphicFramePr/>
                <a:graphic xmlns:a="http://schemas.openxmlformats.org/drawingml/2006/main">
                  <a:graphicData uri="http://schemas.openxmlformats.org/drawingml/2006/picture">
                    <pic:pic xmlns:pic="http://schemas.openxmlformats.org/drawingml/2006/picture">
                      <pic:nvPicPr>
                        <pic:cNvPr id="1" name="Picture 1" descr="H:\PoliceAndCrimeCommissioner\Admin\Logos\Police-and-Crime-Commissioner July 2013-logo-Final (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6770" cy="1303078"/>
                        </a:xfrm>
                        <a:prstGeom prst="rect">
                          <a:avLst/>
                        </a:prstGeom>
                        <a:noFill/>
                        <a:ln>
                          <a:noFill/>
                        </a:ln>
                      </pic:spPr>
                    </pic:pic>
                  </a:graphicData>
                </a:graphic>
              </wp:inline>
            </w:drawing>
          </w:r>
          <w:r>
            <w:rPr>
              <w:rFonts w:ascii="Arial" w:hAnsi="Arial" w:cs="Arial"/>
              <w:b/>
              <w:sz w:val="28"/>
              <w:szCs w:val="28"/>
            </w:rPr>
            <w:br w:type="page"/>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3"/>
        <w:gridCol w:w="5853"/>
      </w:tblGrid>
      <w:tr w:rsidR="000E3BAC" w:rsidRPr="006B703A" w14:paraId="666A76FE" w14:textId="77777777" w:rsidTr="00B94C0C">
        <w:tc>
          <w:tcPr>
            <w:tcW w:w="9242" w:type="dxa"/>
            <w:gridSpan w:val="2"/>
          </w:tcPr>
          <w:p w14:paraId="31997000" w14:textId="77777777" w:rsidR="000E3BAC" w:rsidRPr="006B703A" w:rsidRDefault="000E3BAC" w:rsidP="002E4FA2">
            <w:pPr>
              <w:autoSpaceDE w:val="0"/>
              <w:autoSpaceDN w:val="0"/>
              <w:adjustRightInd w:val="0"/>
              <w:spacing w:after="0" w:line="240" w:lineRule="auto"/>
              <w:jc w:val="center"/>
              <w:rPr>
                <w:bCs/>
                <w:color w:val="000000"/>
              </w:rPr>
            </w:pPr>
            <w:r>
              <w:rPr>
                <w:noProof/>
                <w:color w:val="000000"/>
                <w:lang w:eastAsia="en-GB"/>
              </w:rPr>
              <w:lastRenderedPageBreak/>
              <w:drawing>
                <wp:inline distT="0" distB="0" distL="0" distR="0" wp14:anchorId="025AD673" wp14:editId="71E1A6E2">
                  <wp:extent cx="1590675" cy="644397"/>
                  <wp:effectExtent l="0" t="0" r="0" b="381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590675" cy="644397"/>
                          </a:xfrm>
                          <a:prstGeom prst="rect">
                            <a:avLst/>
                          </a:prstGeom>
                          <a:noFill/>
                          <a:ln>
                            <a:noFill/>
                          </a:ln>
                        </pic:spPr>
                      </pic:pic>
                    </a:graphicData>
                  </a:graphic>
                </wp:inline>
              </w:drawing>
            </w:r>
          </w:p>
        </w:tc>
      </w:tr>
      <w:tr w:rsidR="000E3BAC" w:rsidRPr="006B703A" w14:paraId="44AF89BD" w14:textId="77777777" w:rsidTr="00B94C0C">
        <w:tc>
          <w:tcPr>
            <w:tcW w:w="3227" w:type="dxa"/>
          </w:tcPr>
          <w:p w14:paraId="1D63DF4E" w14:textId="77777777" w:rsidR="000E3BAC" w:rsidRPr="006B703A" w:rsidRDefault="000E3BAC" w:rsidP="00036FFE">
            <w:pPr>
              <w:autoSpaceDE w:val="0"/>
              <w:autoSpaceDN w:val="0"/>
              <w:adjustRightInd w:val="0"/>
              <w:spacing w:before="240" w:after="0"/>
              <w:rPr>
                <w:bCs/>
                <w:color w:val="000000"/>
              </w:rPr>
            </w:pPr>
            <w:r w:rsidRPr="006B703A">
              <w:rPr>
                <w:bCs/>
                <w:color w:val="000000"/>
              </w:rPr>
              <w:t>P</w:t>
            </w:r>
            <w:r w:rsidR="00036FFE">
              <w:rPr>
                <w:bCs/>
                <w:color w:val="000000"/>
              </w:rPr>
              <w:t>rocess</w:t>
            </w:r>
            <w:r w:rsidRPr="006B703A">
              <w:rPr>
                <w:bCs/>
                <w:color w:val="000000"/>
              </w:rPr>
              <w:t xml:space="preserve"> Title</w:t>
            </w:r>
          </w:p>
        </w:tc>
        <w:tc>
          <w:tcPr>
            <w:tcW w:w="6015" w:type="dxa"/>
          </w:tcPr>
          <w:p w14:paraId="1B7A7A38" w14:textId="77777777" w:rsidR="000E3BAC" w:rsidRPr="006B703A" w:rsidRDefault="001B3EDF" w:rsidP="002E4FA2">
            <w:pPr>
              <w:autoSpaceDE w:val="0"/>
              <w:autoSpaceDN w:val="0"/>
              <w:adjustRightInd w:val="0"/>
              <w:spacing w:before="240" w:after="0"/>
              <w:rPr>
                <w:b/>
                <w:bCs/>
                <w:color w:val="000000"/>
              </w:rPr>
            </w:pPr>
            <w:r>
              <w:rPr>
                <w:b/>
                <w:bCs/>
                <w:color w:val="000000"/>
              </w:rPr>
              <w:t>Decision Making Process</w:t>
            </w:r>
          </w:p>
        </w:tc>
      </w:tr>
      <w:tr w:rsidR="000E3BAC" w:rsidRPr="006B703A" w14:paraId="4559D315" w14:textId="77777777" w:rsidTr="00B94C0C">
        <w:tc>
          <w:tcPr>
            <w:tcW w:w="3227" w:type="dxa"/>
          </w:tcPr>
          <w:p w14:paraId="1D43F7DF" w14:textId="77777777" w:rsidR="000E3BAC" w:rsidRPr="006B703A" w:rsidRDefault="000E3BAC" w:rsidP="002E4FA2">
            <w:pPr>
              <w:autoSpaceDE w:val="0"/>
              <w:autoSpaceDN w:val="0"/>
              <w:adjustRightInd w:val="0"/>
              <w:spacing w:before="240" w:after="0"/>
              <w:rPr>
                <w:bCs/>
                <w:color w:val="000000"/>
              </w:rPr>
            </w:pPr>
            <w:r w:rsidRPr="006B703A">
              <w:rPr>
                <w:bCs/>
                <w:color w:val="000000"/>
              </w:rPr>
              <w:t>Responsible Party</w:t>
            </w:r>
          </w:p>
        </w:tc>
        <w:tc>
          <w:tcPr>
            <w:tcW w:w="6015" w:type="dxa"/>
          </w:tcPr>
          <w:p w14:paraId="5388E22E" w14:textId="77777777" w:rsidR="000E3BAC" w:rsidRPr="006B703A" w:rsidRDefault="001B3EDF" w:rsidP="002E4FA2">
            <w:pPr>
              <w:autoSpaceDE w:val="0"/>
              <w:autoSpaceDN w:val="0"/>
              <w:adjustRightInd w:val="0"/>
              <w:spacing w:before="240" w:after="0"/>
              <w:rPr>
                <w:b/>
                <w:bCs/>
                <w:color w:val="000000"/>
              </w:rPr>
            </w:pPr>
            <w:r>
              <w:rPr>
                <w:b/>
                <w:bCs/>
                <w:color w:val="000000"/>
              </w:rPr>
              <w:t>Chief Executive and Monitoring Officer</w:t>
            </w:r>
          </w:p>
        </w:tc>
      </w:tr>
    </w:tbl>
    <w:p w14:paraId="22039456" w14:textId="77777777" w:rsidR="000E3BAC" w:rsidRDefault="000E3BAC" w:rsidP="000E3BAC">
      <w:pPr>
        <w:autoSpaceDE w:val="0"/>
        <w:autoSpaceDN w:val="0"/>
        <w:adjustRightInd w:val="0"/>
        <w:spacing w:before="240" w:line="240" w:lineRule="auto"/>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5848"/>
      </w:tblGrid>
      <w:tr w:rsidR="000E3BAC" w:rsidRPr="006B703A" w14:paraId="11116AF4" w14:textId="77777777" w:rsidTr="00B94C0C">
        <w:tc>
          <w:tcPr>
            <w:tcW w:w="3227" w:type="dxa"/>
          </w:tcPr>
          <w:p w14:paraId="7E5E7A8F" w14:textId="77777777" w:rsidR="000E3BAC" w:rsidRPr="006B703A" w:rsidRDefault="000E3BAC" w:rsidP="002E4FA2">
            <w:pPr>
              <w:autoSpaceDE w:val="0"/>
              <w:autoSpaceDN w:val="0"/>
              <w:adjustRightInd w:val="0"/>
              <w:spacing w:before="240" w:after="0"/>
              <w:rPr>
                <w:bCs/>
                <w:color w:val="000000"/>
              </w:rPr>
            </w:pPr>
            <w:r w:rsidRPr="006B703A">
              <w:rPr>
                <w:bCs/>
                <w:color w:val="000000"/>
              </w:rPr>
              <w:t>Security Classification</w:t>
            </w:r>
          </w:p>
        </w:tc>
        <w:tc>
          <w:tcPr>
            <w:tcW w:w="6015" w:type="dxa"/>
          </w:tcPr>
          <w:p w14:paraId="0990BF8E" w14:textId="77777777" w:rsidR="000E3BAC" w:rsidRPr="006B703A" w:rsidRDefault="009002F7" w:rsidP="002E4FA2">
            <w:pPr>
              <w:autoSpaceDE w:val="0"/>
              <w:autoSpaceDN w:val="0"/>
              <w:adjustRightInd w:val="0"/>
              <w:spacing w:before="240" w:after="0"/>
              <w:rPr>
                <w:b/>
                <w:bCs/>
                <w:color w:val="000000"/>
              </w:rPr>
            </w:pPr>
            <w:r>
              <w:rPr>
                <w:b/>
                <w:bCs/>
                <w:color w:val="000000"/>
              </w:rPr>
              <w:t>Public</w:t>
            </w:r>
          </w:p>
        </w:tc>
      </w:tr>
      <w:tr w:rsidR="000E3BAC" w:rsidRPr="006B703A" w14:paraId="3B7674CA" w14:textId="77777777" w:rsidTr="00B94C0C">
        <w:tc>
          <w:tcPr>
            <w:tcW w:w="3227" w:type="dxa"/>
          </w:tcPr>
          <w:p w14:paraId="6440C73D" w14:textId="77777777" w:rsidR="000E3BAC" w:rsidRPr="006B703A" w:rsidRDefault="000E3BAC" w:rsidP="002E4FA2">
            <w:pPr>
              <w:autoSpaceDE w:val="0"/>
              <w:autoSpaceDN w:val="0"/>
              <w:adjustRightInd w:val="0"/>
              <w:spacing w:before="240" w:after="0"/>
              <w:rPr>
                <w:bCs/>
                <w:color w:val="000000"/>
              </w:rPr>
            </w:pPr>
            <w:r w:rsidRPr="006B703A">
              <w:rPr>
                <w:bCs/>
                <w:color w:val="000000"/>
              </w:rPr>
              <w:t>Disclosable under Freedom of Information Act 2000</w:t>
            </w:r>
          </w:p>
        </w:tc>
        <w:tc>
          <w:tcPr>
            <w:tcW w:w="6015" w:type="dxa"/>
          </w:tcPr>
          <w:p w14:paraId="24285CA2" w14:textId="77777777" w:rsidR="000E3BAC" w:rsidRPr="006B703A" w:rsidRDefault="000E3BAC" w:rsidP="001B3EDF">
            <w:pPr>
              <w:autoSpaceDE w:val="0"/>
              <w:autoSpaceDN w:val="0"/>
              <w:adjustRightInd w:val="0"/>
              <w:spacing w:before="240" w:after="0"/>
              <w:rPr>
                <w:bCs/>
                <w:color w:val="000000"/>
              </w:rPr>
            </w:pPr>
            <w:r w:rsidRPr="006B703A">
              <w:rPr>
                <w:bCs/>
                <w:color w:val="000000"/>
              </w:rPr>
              <w:t>Yes</w:t>
            </w:r>
          </w:p>
        </w:tc>
      </w:tr>
    </w:tbl>
    <w:p w14:paraId="4A6B3D3A" w14:textId="77777777" w:rsidR="000E3BAC" w:rsidRDefault="000E3BAC" w:rsidP="000E3BAC">
      <w:pPr>
        <w:autoSpaceDE w:val="0"/>
        <w:autoSpaceDN w:val="0"/>
        <w:adjustRightInd w:val="0"/>
        <w:spacing w:before="240" w:line="240" w:lineRule="auto"/>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6"/>
        <w:gridCol w:w="5840"/>
      </w:tblGrid>
      <w:tr w:rsidR="000E3BAC" w:rsidRPr="006B703A" w14:paraId="22EC037F" w14:textId="77777777" w:rsidTr="00B94C0C">
        <w:tc>
          <w:tcPr>
            <w:tcW w:w="3227" w:type="dxa"/>
          </w:tcPr>
          <w:p w14:paraId="0F18BDBA" w14:textId="77777777" w:rsidR="000E3BAC" w:rsidRPr="006B703A" w:rsidRDefault="000E3BAC" w:rsidP="002E4FA2">
            <w:pPr>
              <w:autoSpaceDE w:val="0"/>
              <w:autoSpaceDN w:val="0"/>
              <w:adjustRightInd w:val="0"/>
              <w:spacing w:before="240" w:after="0"/>
              <w:rPr>
                <w:bCs/>
                <w:color w:val="000000"/>
              </w:rPr>
            </w:pPr>
            <w:r w:rsidRPr="006B703A">
              <w:rPr>
                <w:bCs/>
                <w:color w:val="000000"/>
              </w:rPr>
              <w:t>Policy Implementation Date</w:t>
            </w:r>
          </w:p>
        </w:tc>
        <w:tc>
          <w:tcPr>
            <w:tcW w:w="6015" w:type="dxa"/>
          </w:tcPr>
          <w:p w14:paraId="43335260" w14:textId="5818FB57" w:rsidR="000E3BAC" w:rsidRPr="006B703A" w:rsidRDefault="000D4C86" w:rsidP="000D4C86">
            <w:pPr>
              <w:autoSpaceDE w:val="0"/>
              <w:autoSpaceDN w:val="0"/>
              <w:adjustRightInd w:val="0"/>
              <w:spacing w:before="240" w:after="0"/>
              <w:rPr>
                <w:b/>
                <w:bCs/>
                <w:color w:val="000000"/>
              </w:rPr>
            </w:pPr>
            <w:r>
              <w:rPr>
                <w:b/>
                <w:bCs/>
                <w:color w:val="000000"/>
              </w:rPr>
              <w:t>1</w:t>
            </w:r>
            <w:r w:rsidRPr="003B56DC">
              <w:rPr>
                <w:b/>
                <w:bCs/>
                <w:color w:val="000000"/>
                <w:vertAlign w:val="superscript"/>
              </w:rPr>
              <w:t>st</w:t>
            </w:r>
            <w:r>
              <w:rPr>
                <w:b/>
                <w:bCs/>
                <w:color w:val="000000"/>
              </w:rPr>
              <w:t xml:space="preserve"> April 2020</w:t>
            </w:r>
          </w:p>
        </w:tc>
      </w:tr>
      <w:tr w:rsidR="000E3BAC" w:rsidRPr="006B703A" w14:paraId="790BDC74" w14:textId="77777777" w:rsidTr="00B94C0C">
        <w:tc>
          <w:tcPr>
            <w:tcW w:w="3227" w:type="dxa"/>
          </w:tcPr>
          <w:p w14:paraId="534ED1B6" w14:textId="77777777" w:rsidR="000E3BAC" w:rsidRPr="006B703A" w:rsidRDefault="000E3BAC" w:rsidP="002E4FA2">
            <w:pPr>
              <w:autoSpaceDE w:val="0"/>
              <w:autoSpaceDN w:val="0"/>
              <w:adjustRightInd w:val="0"/>
              <w:spacing w:before="240" w:after="0"/>
              <w:rPr>
                <w:bCs/>
                <w:color w:val="000000"/>
              </w:rPr>
            </w:pPr>
            <w:r w:rsidRPr="006B703A">
              <w:rPr>
                <w:bCs/>
                <w:color w:val="000000"/>
              </w:rPr>
              <w:t>Next Review Date</w:t>
            </w:r>
            <w:r w:rsidR="008B2D33">
              <w:rPr>
                <w:bCs/>
                <w:color w:val="000000"/>
              </w:rPr>
              <w:t xml:space="preserve"> Prior To</w:t>
            </w:r>
          </w:p>
        </w:tc>
        <w:tc>
          <w:tcPr>
            <w:tcW w:w="6015" w:type="dxa"/>
          </w:tcPr>
          <w:p w14:paraId="11D02443" w14:textId="516F197D" w:rsidR="000E3BAC" w:rsidRPr="004913C8" w:rsidRDefault="000D4C86" w:rsidP="000D4C86">
            <w:pPr>
              <w:autoSpaceDE w:val="0"/>
              <w:autoSpaceDN w:val="0"/>
              <w:adjustRightInd w:val="0"/>
              <w:spacing w:before="240" w:after="0"/>
              <w:rPr>
                <w:b/>
                <w:bCs/>
                <w:color w:val="000000"/>
              </w:rPr>
            </w:pPr>
            <w:r>
              <w:rPr>
                <w:b/>
                <w:bCs/>
                <w:color w:val="000000"/>
              </w:rPr>
              <w:t>1</w:t>
            </w:r>
            <w:r w:rsidRPr="003B56DC">
              <w:rPr>
                <w:b/>
                <w:bCs/>
                <w:color w:val="000000"/>
                <w:vertAlign w:val="superscript"/>
              </w:rPr>
              <w:t>st</w:t>
            </w:r>
            <w:r>
              <w:rPr>
                <w:b/>
                <w:bCs/>
                <w:color w:val="000000"/>
              </w:rPr>
              <w:t xml:space="preserve"> April 2022</w:t>
            </w:r>
            <w:r w:rsidR="000968B2">
              <w:rPr>
                <w:b/>
                <w:bCs/>
                <w:color w:val="000000"/>
              </w:rPr>
              <w:t xml:space="preserve"> </w:t>
            </w:r>
          </w:p>
        </w:tc>
      </w:tr>
    </w:tbl>
    <w:p w14:paraId="57153E3B" w14:textId="77777777" w:rsidR="00264EA5" w:rsidRDefault="00264EA5" w:rsidP="00264EA5">
      <w:pPr>
        <w:autoSpaceDE w:val="0"/>
        <w:autoSpaceDN w:val="0"/>
        <w:adjustRightInd w:val="0"/>
        <w:spacing w:before="240" w:line="240" w:lineRule="auto"/>
        <w:rPr>
          <w:b/>
          <w:bCs/>
          <w:color w:val="000000"/>
        </w:rPr>
      </w:pPr>
    </w:p>
    <w:p w14:paraId="65015372" w14:textId="77777777" w:rsidR="00264EA5" w:rsidRPr="00D37FB4" w:rsidRDefault="00264EA5" w:rsidP="00264EA5">
      <w:pPr>
        <w:autoSpaceDE w:val="0"/>
        <w:autoSpaceDN w:val="0"/>
        <w:adjustRightInd w:val="0"/>
        <w:spacing w:before="240" w:line="240" w:lineRule="auto"/>
        <w:rPr>
          <w:b/>
          <w:bCs/>
          <w:color w:val="000000"/>
        </w:rPr>
      </w:pPr>
      <w:r w:rsidRPr="00D37FB4">
        <w:rPr>
          <w:b/>
          <w:bCs/>
          <w:color w:val="000000"/>
        </w:rPr>
        <w:t>Revision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1"/>
        <w:gridCol w:w="5865"/>
      </w:tblGrid>
      <w:tr w:rsidR="00264EA5" w:rsidRPr="006B703A" w14:paraId="7129CC48" w14:textId="77777777" w:rsidTr="00B94C0C">
        <w:tc>
          <w:tcPr>
            <w:tcW w:w="3227" w:type="dxa"/>
          </w:tcPr>
          <w:p w14:paraId="7EEB1979" w14:textId="77777777" w:rsidR="00264EA5" w:rsidRPr="006B703A" w:rsidRDefault="00036FFE" w:rsidP="00D33BDE">
            <w:pPr>
              <w:autoSpaceDE w:val="0"/>
              <w:autoSpaceDN w:val="0"/>
              <w:adjustRightInd w:val="0"/>
              <w:spacing w:before="240" w:after="0"/>
              <w:rPr>
                <w:bCs/>
                <w:color w:val="000000"/>
              </w:rPr>
            </w:pPr>
            <w:r>
              <w:rPr>
                <w:bCs/>
                <w:color w:val="000000"/>
              </w:rPr>
              <w:t>Version number and date</w:t>
            </w:r>
          </w:p>
        </w:tc>
        <w:tc>
          <w:tcPr>
            <w:tcW w:w="6015" w:type="dxa"/>
          </w:tcPr>
          <w:p w14:paraId="1C3D27BA" w14:textId="77777777" w:rsidR="00264EA5" w:rsidRPr="00D37FB4" w:rsidRDefault="00264EA5" w:rsidP="00D33BDE">
            <w:pPr>
              <w:autoSpaceDE w:val="0"/>
              <w:autoSpaceDN w:val="0"/>
              <w:adjustRightInd w:val="0"/>
              <w:spacing w:before="240" w:after="0"/>
              <w:rPr>
                <w:bCs/>
                <w:color w:val="000000"/>
              </w:rPr>
            </w:pPr>
            <w:r w:rsidRPr="00D37FB4">
              <w:rPr>
                <w:bCs/>
                <w:color w:val="000000"/>
              </w:rPr>
              <w:t>Nature of revision</w:t>
            </w:r>
          </w:p>
        </w:tc>
      </w:tr>
      <w:tr w:rsidR="00264EA5" w:rsidRPr="006B703A" w14:paraId="4EFED86F" w14:textId="77777777" w:rsidTr="00B94C0C">
        <w:tc>
          <w:tcPr>
            <w:tcW w:w="3227" w:type="dxa"/>
          </w:tcPr>
          <w:p w14:paraId="6B8ECB75" w14:textId="2E31A4EE" w:rsidR="00264EA5" w:rsidRPr="006B703A" w:rsidRDefault="000968B2" w:rsidP="000D4C86">
            <w:pPr>
              <w:autoSpaceDE w:val="0"/>
              <w:autoSpaceDN w:val="0"/>
              <w:adjustRightInd w:val="0"/>
              <w:spacing w:before="240" w:after="0"/>
              <w:rPr>
                <w:bCs/>
                <w:color w:val="000000"/>
              </w:rPr>
            </w:pPr>
            <w:r>
              <w:rPr>
                <w:bCs/>
                <w:color w:val="000000"/>
              </w:rPr>
              <w:t xml:space="preserve">2.0 </w:t>
            </w:r>
            <w:r w:rsidR="000D4C86">
              <w:rPr>
                <w:bCs/>
                <w:color w:val="000000"/>
              </w:rPr>
              <w:t>April 2020</w:t>
            </w:r>
            <w:r>
              <w:rPr>
                <w:bCs/>
                <w:color w:val="000000"/>
              </w:rPr>
              <w:t xml:space="preserve"> </w:t>
            </w:r>
          </w:p>
        </w:tc>
        <w:tc>
          <w:tcPr>
            <w:tcW w:w="6015" w:type="dxa"/>
          </w:tcPr>
          <w:p w14:paraId="60203785" w14:textId="4191141B" w:rsidR="00264EA5" w:rsidRPr="00D37FB4" w:rsidRDefault="000D4C86" w:rsidP="000D4C86">
            <w:pPr>
              <w:autoSpaceDE w:val="0"/>
              <w:autoSpaceDN w:val="0"/>
              <w:adjustRightInd w:val="0"/>
              <w:spacing w:before="240" w:after="0"/>
              <w:rPr>
                <w:bCs/>
                <w:color w:val="000000"/>
              </w:rPr>
            </w:pPr>
            <w:r>
              <w:rPr>
                <w:bCs/>
                <w:color w:val="000000"/>
              </w:rPr>
              <w:t xml:space="preserve"> To reflect the fact that Warwickshire is once again a standalone force.</w:t>
            </w:r>
          </w:p>
        </w:tc>
      </w:tr>
    </w:tbl>
    <w:p w14:paraId="0E33B650" w14:textId="77777777" w:rsidR="00264EA5" w:rsidRDefault="00264EA5" w:rsidP="00264EA5">
      <w:pPr>
        <w:autoSpaceDE w:val="0"/>
        <w:autoSpaceDN w:val="0"/>
        <w:adjustRightInd w:val="0"/>
        <w:spacing w:after="0" w:line="240" w:lineRule="auto"/>
        <w:rPr>
          <w:b/>
          <w:bCs/>
          <w:color w:val="000000"/>
        </w:rPr>
      </w:pPr>
    </w:p>
    <w:p w14:paraId="70E5E6E3" w14:textId="77777777" w:rsidR="000E3BAC" w:rsidRPr="00B94C0C" w:rsidRDefault="000E3BAC" w:rsidP="00B94C0C">
      <w:pPr>
        <w:autoSpaceDE w:val="0"/>
        <w:autoSpaceDN w:val="0"/>
        <w:adjustRightInd w:val="0"/>
        <w:spacing w:before="240" w:line="240" w:lineRule="auto"/>
        <w:rPr>
          <w:color w:val="000000"/>
        </w:rPr>
      </w:pPr>
    </w:p>
    <w:p w14:paraId="3ED78BC6" w14:textId="77777777" w:rsidR="000E3BAC" w:rsidRPr="00B94C0C" w:rsidRDefault="000E3BAC" w:rsidP="00B94C0C">
      <w:pPr>
        <w:autoSpaceDE w:val="0"/>
        <w:autoSpaceDN w:val="0"/>
        <w:adjustRightInd w:val="0"/>
        <w:spacing w:before="240" w:line="240" w:lineRule="auto"/>
        <w:rPr>
          <w:color w:val="000000"/>
        </w:rPr>
      </w:pPr>
    </w:p>
    <w:p w14:paraId="6E1A07C3" w14:textId="77777777" w:rsidR="000E3BAC" w:rsidRPr="00B94C0C" w:rsidRDefault="000E3BAC" w:rsidP="00B94C0C">
      <w:pPr>
        <w:autoSpaceDE w:val="0"/>
        <w:autoSpaceDN w:val="0"/>
        <w:adjustRightInd w:val="0"/>
        <w:spacing w:before="240" w:line="240" w:lineRule="auto"/>
        <w:rPr>
          <w:color w:val="000000"/>
        </w:rPr>
      </w:pPr>
    </w:p>
    <w:p w14:paraId="77A8C610" w14:textId="77777777" w:rsidR="000E3BAC" w:rsidRDefault="000E3BAC" w:rsidP="000E3BAC">
      <w:pPr>
        <w:autoSpaceDE w:val="0"/>
        <w:autoSpaceDN w:val="0"/>
        <w:adjustRightInd w:val="0"/>
        <w:spacing w:after="0" w:line="240" w:lineRule="auto"/>
        <w:rPr>
          <w:b/>
          <w:bCs/>
          <w:color w:val="000000"/>
        </w:rPr>
      </w:pPr>
    </w:p>
    <w:p w14:paraId="20C34854" w14:textId="77777777" w:rsidR="000E3BAC" w:rsidRDefault="000E3BAC" w:rsidP="000E3BAC">
      <w:pPr>
        <w:autoSpaceDE w:val="0"/>
        <w:autoSpaceDN w:val="0"/>
        <w:adjustRightInd w:val="0"/>
        <w:spacing w:after="0" w:line="240" w:lineRule="auto"/>
        <w:rPr>
          <w:b/>
          <w:bCs/>
          <w:color w:val="000000"/>
        </w:rPr>
      </w:pPr>
    </w:p>
    <w:p w14:paraId="7EBA835F" w14:textId="77777777" w:rsidR="000E3BAC" w:rsidRDefault="000E3BAC" w:rsidP="000E3BAC">
      <w:pPr>
        <w:autoSpaceDE w:val="0"/>
        <w:autoSpaceDN w:val="0"/>
        <w:adjustRightInd w:val="0"/>
        <w:spacing w:after="0" w:line="240" w:lineRule="auto"/>
        <w:rPr>
          <w:b/>
          <w:bCs/>
          <w:color w:val="000000"/>
        </w:rPr>
      </w:pPr>
    </w:p>
    <w:p w14:paraId="544ED0F1" w14:textId="77777777" w:rsidR="000E3BAC" w:rsidRDefault="000E3BAC" w:rsidP="000E3BAC">
      <w:pPr>
        <w:autoSpaceDE w:val="0"/>
        <w:autoSpaceDN w:val="0"/>
        <w:adjustRightInd w:val="0"/>
        <w:spacing w:after="0" w:line="240" w:lineRule="auto"/>
        <w:rPr>
          <w:b/>
          <w:bCs/>
          <w:color w:val="000000"/>
        </w:rPr>
      </w:pPr>
    </w:p>
    <w:p w14:paraId="6EB28A16" w14:textId="77777777" w:rsidR="000E3BAC" w:rsidRDefault="000E3BAC" w:rsidP="000E3BAC">
      <w:pPr>
        <w:autoSpaceDE w:val="0"/>
        <w:autoSpaceDN w:val="0"/>
        <w:adjustRightInd w:val="0"/>
        <w:spacing w:after="0" w:line="240" w:lineRule="auto"/>
        <w:rPr>
          <w:b/>
          <w:bCs/>
          <w:color w:val="000000"/>
        </w:rPr>
      </w:pPr>
    </w:p>
    <w:p w14:paraId="52685458" w14:textId="77777777" w:rsidR="000E3BAC" w:rsidRDefault="000E3BAC" w:rsidP="000E3BAC">
      <w:pPr>
        <w:autoSpaceDE w:val="0"/>
        <w:autoSpaceDN w:val="0"/>
        <w:adjustRightInd w:val="0"/>
        <w:spacing w:after="0" w:line="240" w:lineRule="auto"/>
        <w:rPr>
          <w:b/>
          <w:bCs/>
          <w:color w:val="000000"/>
        </w:rPr>
      </w:pPr>
    </w:p>
    <w:p w14:paraId="0778929B" w14:textId="77777777" w:rsidR="000E3BAC" w:rsidRDefault="000E3BAC" w:rsidP="000E3BAC">
      <w:pPr>
        <w:autoSpaceDE w:val="0"/>
        <w:autoSpaceDN w:val="0"/>
        <w:adjustRightInd w:val="0"/>
        <w:spacing w:after="0" w:line="240" w:lineRule="auto"/>
        <w:rPr>
          <w:b/>
          <w:bCs/>
          <w:color w:val="000000"/>
        </w:rPr>
      </w:pPr>
    </w:p>
    <w:p w14:paraId="379D0798" w14:textId="77777777" w:rsidR="000E3BAC" w:rsidRDefault="000E3BAC" w:rsidP="000E3BAC">
      <w:pPr>
        <w:autoSpaceDE w:val="0"/>
        <w:autoSpaceDN w:val="0"/>
        <w:adjustRightInd w:val="0"/>
        <w:spacing w:after="0" w:line="240" w:lineRule="auto"/>
        <w:rPr>
          <w:b/>
          <w:bCs/>
          <w:color w:val="000000"/>
        </w:rPr>
      </w:pPr>
    </w:p>
    <w:p w14:paraId="1E393068" w14:textId="77777777" w:rsidR="000E3BAC" w:rsidRDefault="000E3BAC" w:rsidP="000E3BAC">
      <w:pPr>
        <w:autoSpaceDE w:val="0"/>
        <w:autoSpaceDN w:val="0"/>
        <w:adjustRightInd w:val="0"/>
        <w:spacing w:after="0" w:line="240" w:lineRule="auto"/>
        <w:rPr>
          <w:b/>
          <w:bCs/>
          <w:color w:val="000000"/>
        </w:rPr>
      </w:pPr>
    </w:p>
    <w:p w14:paraId="1302C5A0" w14:textId="77777777" w:rsidR="000E3BAC" w:rsidRDefault="000E3BAC" w:rsidP="000E3BAC">
      <w:pPr>
        <w:autoSpaceDE w:val="0"/>
        <w:autoSpaceDN w:val="0"/>
        <w:adjustRightInd w:val="0"/>
        <w:spacing w:after="0" w:line="240" w:lineRule="auto"/>
        <w:rPr>
          <w:b/>
          <w:bCs/>
          <w:color w:val="000000"/>
        </w:rPr>
      </w:pPr>
    </w:p>
    <w:p w14:paraId="6C64354F" w14:textId="77777777" w:rsidR="000E3BAC" w:rsidRDefault="000E3BAC" w:rsidP="000E3BAC">
      <w:pPr>
        <w:autoSpaceDE w:val="0"/>
        <w:autoSpaceDN w:val="0"/>
        <w:adjustRightInd w:val="0"/>
        <w:spacing w:after="0" w:line="240" w:lineRule="auto"/>
        <w:rPr>
          <w:b/>
          <w:bCs/>
          <w:color w:val="000000"/>
        </w:rPr>
      </w:pPr>
    </w:p>
    <w:p w14:paraId="5B5DFBA7" w14:textId="77777777" w:rsidR="000E3BAC" w:rsidRDefault="000E3BAC" w:rsidP="000E3BAC">
      <w:pPr>
        <w:autoSpaceDE w:val="0"/>
        <w:autoSpaceDN w:val="0"/>
        <w:adjustRightInd w:val="0"/>
        <w:spacing w:after="0" w:line="240" w:lineRule="auto"/>
        <w:rPr>
          <w:b/>
          <w:bCs/>
          <w:color w:val="000000"/>
        </w:rPr>
      </w:pPr>
    </w:p>
    <w:p w14:paraId="3F8C1B7F" w14:textId="77777777" w:rsidR="000E3BAC" w:rsidRDefault="000E3BAC" w:rsidP="000E3BAC">
      <w:pPr>
        <w:autoSpaceDE w:val="0"/>
        <w:autoSpaceDN w:val="0"/>
        <w:adjustRightInd w:val="0"/>
        <w:spacing w:after="0" w:line="240" w:lineRule="auto"/>
        <w:rPr>
          <w:b/>
          <w:bCs/>
          <w:color w:val="000000"/>
        </w:rPr>
      </w:pPr>
    </w:p>
    <w:p w14:paraId="7D07AB34" w14:textId="77777777" w:rsidR="001B3EDF" w:rsidRPr="003A2C47" w:rsidRDefault="001B3EDF" w:rsidP="001B3EDF">
      <w:pPr>
        <w:jc w:val="center"/>
        <w:rPr>
          <w:lang w:eastAsia="en-GB"/>
        </w:rPr>
      </w:pPr>
      <w:r w:rsidRPr="00326CAD">
        <w:rPr>
          <w:rFonts w:eastAsia="Times New Roman"/>
          <w:b/>
          <w:kern w:val="36"/>
          <w:sz w:val="36"/>
          <w:szCs w:val="36"/>
          <w:lang w:eastAsia="en-GB"/>
        </w:rPr>
        <w:t>Police and Crime Commissioner</w:t>
      </w:r>
      <w:r>
        <w:rPr>
          <w:rFonts w:eastAsia="Times New Roman"/>
          <w:b/>
          <w:kern w:val="36"/>
          <w:sz w:val="36"/>
          <w:szCs w:val="36"/>
          <w:lang w:eastAsia="en-GB"/>
        </w:rPr>
        <w:t xml:space="preserve"> for Warwickshire</w:t>
      </w:r>
    </w:p>
    <w:p w14:paraId="2A3FE274" w14:textId="77777777" w:rsidR="001B3EDF" w:rsidRPr="00326CAD" w:rsidRDefault="001B3EDF" w:rsidP="001B3EDF">
      <w:pPr>
        <w:shd w:val="clear" w:color="auto" w:fill="FFFFFF"/>
        <w:spacing w:after="0" w:line="240" w:lineRule="auto"/>
        <w:jc w:val="center"/>
        <w:outlineLvl w:val="1"/>
        <w:rPr>
          <w:rFonts w:eastAsia="Times New Roman"/>
          <w:b/>
          <w:kern w:val="36"/>
          <w:sz w:val="36"/>
          <w:szCs w:val="36"/>
          <w:lang w:eastAsia="en-GB"/>
        </w:rPr>
      </w:pPr>
      <w:r w:rsidRPr="00326CAD">
        <w:rPr>
          <w:rFonts w:eastAsia="Times New Roman"/>
          <w:b/>
          <w:kern w:val="36"/>
          <w:sz w:val="36"/>
          <w:szCs w:val="36"/>
          <w:lang w:eastAsia="en-GB"/>
        </w:rPr>
        <w:t>Decision Making</w:t>
      </w:r>
      <w:r>
        <w:rPr>
          <w:rFonts w:eastAsia="Times New Roman"/>
          <w:b/>
          <w:kern w:val="36"/>
          <w:sz w:val="36"/>
          <w:szCs w:val="36"/>
          <w:lang w:eastAsia="en-GB"/>
        </w:rPr>
        <w:t xml:space="preserve"> Process</w:t>
      </w:r>
    </w:p>
    <w:p w14:paraId="6FDF39A7" w14:textId="77777777" w:rsidR="001B3EDF" w:rsidRPr="00326CAD" w:rsidRDefault="001B3EDF" w:rsidP="001B3EDF">
      <w:pPr>
        <w:shd w:val="clear" w:color="auto" w:fill="FFFFFF"/>
        <w:spacing w:after="0" w:line="360" w:lineRule="atLeast"/>
        <w:jc w:val="both"/>
        <w:rPr>
          <w:rFonts w:eastAsia="Times New Roman"/>
          <w:lang w:eastAsia="en-GB"/>
        </w:rPr>
      </w:pPr>
    </w:p>
    <w:p w14:paraId="61B3C0BD" w14:textId="77777777" w:rsidR="001B3EDF" w:rsidRPr="004C488F" w:rsidRDefault="001B3EDF" w:rsidP="00303437">
      <w:pPr>
        <w:pStyle w:val="ListParagraph"/>
        <w:numPr>
          <w:ilvl w:val="0"/>
          <w:numId w:val="1"/>
        </w:numPr>
        <w:shd w:val="clear" w:color="auto" w:fill="FFFFFF"/>
        <w:spacing w:after="0" w:line="360" w:lineRule="atLeast"/>
        <w:jc w:val="both"/>
        <w:rPr>
          <w:rFonts w:eastAsia="Times New Roman"/>
          <w:b/>
          <w:sz w:val="28"/>
          <w:szCs w:val="28"/>
          <w:lang w:eastAsia="en-GB"/>
        </w:rPr>
      </w:pPr>
      <w:r w:rsidRPr="004C488F">
        <w:rPr>
          <w:rFonts w:eastAsia="Times New Roman"/>
          <w:b/>
          <w:sz w:val="28"/>
          <w:szCs w:val="28"/>
          <w:lang w:eastAsia="en-GB"/>
        </w:rPr>
        <w:t>Introduction</w:t>
      </w:r>
    </w:p>
    <w:p w14:paraId="47F60347" w14:textId="77777777" w:rsidR="001B3EDF" w:rsidRDefault="001B3EDF" w:rsidP="001B3EDF">
      <w:pPr>
        <w:shd w:val="clear" w:color="auto" w:fill="FFFFFF"/>
        <w:spacing w:after="0" w:line="360" w:lineRule="atLeast"/>
        <w:jc w:val="both"/>
        <w:rPr>
          <w:rFonts w:eastAsia="Times New Roman"/>
          <w:b/>
          <w:sz w:val="28"/>
          <w:szCs w:val="28"/>
          <w:lang w:eastAsia="en-GB"/>
        </w:rPr>
      </w:pPr>
    </w:p>
    <w:p w14:paraId="43E894DB" w14:textId="77777777" w:rsidR="001B3EDF" w:rsidRPr="00374256" w:rsidRDefault="001B3EDF" w:rsidP="001B3EDF">
      <w:pPr>
        <w:shd w:val="clear" w:color="auto" w:fill="FFFFFF"/>
        <w:spacing w:after="0" w:line="360" w:lineRule="atLeast"/>
        <w:jc w:val="both"/>
        <w:rPr>
          <w:rFonts w:eastAsia="Times New Roman"/>
          <w:lang w:eastAsia="en-GB"/>
        </w:rPr>
      </w:pPr>
      <w:r w:rsidRPr="00374256">
        <w:rPr>
          <w:rFonts w:eastAsia="Times New Roman"/>
          <w:lang w:eastAsia="en-GB"/>
        </w:rPr>
        <w:t xml:space="preserve">This </w:t>
      </w:r>
      <w:r>
        <w:rPr>
          <w:rFonts w:eastAsia="Times New Roman"/>
          <w:lang w:eastAsia="en-GB"/>
        </w:rPr>
        <w:t>Decision making process</w:t>
      </w:r>
      <w:r w:rsidRPr="00374256">
        <w:rPr>
          <w:rFonts w:eastAsia="Times New Roman"/>
          <w:lang w:eastAsia="en-GB"/>
        </w:rPr>
        <w:t xml:space="preserve"> establishes a framework for facilitating good decision making by the Police and Crime Commissioner (the PCC).  The PCC is committed to ensuring that decisions are made in a consistent, fair, open and transparent way, with due regard to the statutory framework within which the PCC operates and good practice governance principles. The PCC is committed to a robust decision making process so as to achieve consistent, reliable and objectively sustainable decisions.</w:t>
      </w:r>
    </w:p>
    <w:p w14:paraId="4CA37C23" w14:textId="77777777" w:rsidR="001B3EDF" w:rsidRPr="00374256" w:rsidRDefault="001B3EDF" w:rsidP="001B3EDF">
      <w:pPr>
        <w:shd w:val="clear" w:color="auto" w:fill="FFFFFF"/>
        <w:spacing w:after="0" w:line="360" w:lineRule="atLeast"/>
        <w:jc w:val="both"/>
        <w:rPr>
          <w:rFonts w:eastAsia="Times New Roman"/>
          <w:lang w:eastAsia="en-GB"/>
        </w:rPr>
      </w:pPr>
    </w:p>
    <w:p w14:paraId="36DE17BE" w14:textId="77777777" w:rsidR="001B3EDF" w:rsidRPr="00374256" w:rsidRDefault="001B3EDF" w:rsidP="001B3EDF">
      <w:pPr>
        <w:shd w:val="clear" w:color="auto" w:fill="FFFFFF"/>
        <w:spacing w:after="0" w:line="360" w:lineRule="atLeast"/>
        <w:jc w:val="both"/>
        <w:rPr>
          <w:rFonts w:eastAsia="Times New Roman"/>
          <w:lang w:eastAsia="en-GB"/>
        </w:rPr>
      </w:pPr>
      <w:r w:rsidRPr="00374256">
        <w:rPr>
          <w:rFonts w:eastAsia="Times New Roman"/>
          <w:lang w:eastAsia="en-GB"/>
        </w:rPr>
        <w:t>Th</w:t>
      </w:r>
      <w:r>
        <w:rPr>
          <w:rFonts w:eastAsia="Times New Roman"/>
          <w:lang w:eastAsia="en-GB"/>
        </w:rPr>
        <w:t>is Decision making process</w:t>
      </w:r>
      <w:r w:rsidRPr="00374256">
        <w:rPr>
          <w:rFonts w:eastAsia="Times New Roman"/>
          <w:lang w:eastAsia="en-GB"/>
        </w:rPr>
        <w:t xml:space="preserve"> outlines the decision making process and provides information on how decisions will be recorded and published. This </w:t>
      </w:r>
      <w:r>
        <w:rPr>
          <w:rFonts w:eastAsia="Times New Roman"/>
          <w:lang w:eastAsia="en-GB"/>
        </w:rPr>
        <w:t>Decision making process</w:t>
      </w:r>
      <w:r w:rsidRPr="00374256">
        <w:rPr>
          <w:rFonts w:eastAsia="Times New Roman"/>
          <w:lang w:eastAsia="en-GB"/>
        </w:rPr>
        <w:t xml:space="preserve"> will be subject to periodic review.</w:t>
      </w:r>
    </w:p>
    <w:p w14:paraId="0141A360" w14:textId="77777777" w:rsidR="001B3EDF" w:rsidRPr="00374256" w:rsidRDefault="001B3EDF" w:rsidP="001B3EDF">
      <w:pPr>
        <w:shd w:val="clear" w:color="auto" w:fill="FFFFFF"/>
        <w:spacing w:after="0" w:line="360" w:lineRule="atLeast"/>
        <w:jc w:val="both"/>
        <w:rPr>
          <w:rFonts w:eastAsia="Times New Roman"/>
          <w:lang w:eastAsia="en-GB"/>
        </w:rPr>
      </w:pPr>
    </w:p>
    <w:p w14:paraId="4E255B10" w14:textId="77777777" w:rsidR="001B3EDF" w:rsidRPr="00374256" w:rsidRDefault="001B3EDF" w:rsidP="001B3EDF">
      <w:pPr>
        <w:shd w:val="clear" w:color="auto" w:fill="FFFFFF"/>
        <w:spacing w:after="0" w:line="360" w:lineRule="atLeast"/>
        <w:jc w:val="both"/>
        <w:rPr>
          <w:rFonts w:eastAsia="Times New Roman"/>
          <w:sz w:val="28"/>
          <w:szCs w:val="28"/>
          <w:lang w:eastAsia="en-GB"/>
        </w:rPr>
      </w:pPr>
    </w:p>
    <w:p w14:paraId="0A234FB5" w14:textId="77777777" w:rsidR="001B3EDF" w:rsidRPr="00374256" w:rsidRDefault="001B3EDF" w:rsidP="00303437">
      <w:pPr>
        <w:pStyle w:val="ListParagraph"/>
        <w:numPr>
          <w:ilvl w:val="0"/>
          <w:numId w:val="1"/>
        </w:numPr>
        <w:shd w:val="clear" w:color="auto" w:fill="FFFFFF"/>
        <w:spacing w:after="0" w:line="360" w:lineRule="atLeast"/>
        <w:jc w:val="both"/>
        <w:rPr>
          <w:rFonts w:eastAsia="Times New Roman"/>
          <w:b/>
          <w:sz w:val="28"/>
          <w:szCs w:val="28"/>
          <w:lang w:eastAsia="en-GB"/>
        </w:rPr>
      </w:pPr>
      <w:r w:rsidRPr="00374256">
        <w:rPr>
          <w:rFonts w:eastAsia="Times New Roman"/>
          <w:b/>
          <w:sz w:val="28"/>
          <w:szCs w:val="28"/>
          <w:lang w:eastAsia="en-GB"/>
        </w:rPr>
        <w:t>Statutory Framework</w:t>
      </w:r>
    </w:p>
    <w:p w14:paraId="07B577FF" w14:textId="77777777" w:rsidR="001B3EDF" w:rsidRPr="00374256" w:rsidRDefault="001B3EDF" w:rsidP="001B3EDF">
      <w:pPr>
        <w:shd w:val="clear" w:color="auto" w:fill="FFFFFF"/>
        <w:spacing w:after="0" w:line="360" w:lineRule="atLeast"/>
        <w:jc w:val="both"/>
        <w:rPr>
          <w:rFonts w:eastAsia="Times New Roman"/>
          <w:sz w:val="28"/>
          <w:szCs w:val="28"/>
          <w:lang w:eastAsia="en-GB"/>
        </w:rPr>
      </w:pPr>
    </w:p>
    <w:p w14:paraId="57C92FAD" w14:textId="77777777" w:rsidR="001B3EDF" w:rsidRPr="00374256" w:rsidRDefault="001B3EDF" w:rsidP="001B3EDF">
      <w:pPr>
        <w:shd w:val="clear" w:color="auto" w:fill="FFFFFF"/>
        <w:spacing w:after="0" w:line="360" w:lineRule="atLeast"/>
        <w:jc w:val="both"/>
        <w:rPr>
          <w:rFonts w:eastAsia="Times New Roman"/>
          <w:lang w:eastAsia="en-GB"/>
        </w:rPr>
      </w:pPr>
      <w:r w:rsidRPr="00374256">
        <w:rPr>
          <w:rFonts w:eastAsia="Times New Roman"/>
          <w:lang w:eastAsia="en-GB"/>
        </w:rPr>
        <w:t>The PCC operates within a statutory framework consisting of:</w:t>
      </w:r>
    </w:p>
    <w:p w14:paraId="5C36E8F8" w14:textId="77777777" w:rsidR="001B3EDF" w:rsidRPr="00374256" w:rsidRDefault="001B3EDF" w:rsidP="001B3EDF">
      <w:pPr>
        <w:shd w:val="clear" w:color="auto" w:fill="FFFFFF"/>
        <w:spacing w:after="0" w:line="360" w:lineRule="atLeast"/>
        <w:jc w:val="both"/>
        <w:rPr>
          <w:rFonts w:eastAsia="Times New Roman"/>
          <w:lang w:eastAsia="en-GB"/>
        </w:rPr>
      </w:pPr>
    </w:p>
    <w:p w14:paraId="41946C3A" w14:textId="77777777" w:rsidR="001B3EDF" w:rsidRPr="00374256" w:rsidRDefault="001B3EDF" w:rsidP="00303437">
      <w:pPr>
        <w:pStyle w:val="ListParagraph"/>
        <w:numPr>
          <w:ilvl w:val="0"/>
          <w:numId w:val="2"/>
        </w:numPr>
        <w:shd w:val="clear" w:color="auto" w:fill="FFFFFF"/>
        <w:spacing w:after="0" w:line="360" w:lineRule="atLeast"/>
        <w:jc w:val="both"/>
        <w:rPr>
          <w:rFonts w:eastAsia="Times New Roman"/>
          <w:lang w:eastAsia="en-GB"/>
        </w:rPr>
      </w:pPr>
      <w:r w:rsidRPr="00374256">
        <w:rPr>
          <w:rFonts w:eastAsia="Times New Roman"/>
          <w:b/>
          <w:lang w:eastAsia="en-GB"/>
        </w:rPr>
        <w:t xml:space="preserve">The Police Reform and Social Responsibility Act 2011 </w:t>
      </w:r>
      <w:r w:rsidRPr="00374256">
        <w:rPr>
          <w:rFonts w:eastAsia="Times New Roman"/>
          <w:lang w:eastAsia="en-GB"/>
        </w:rPr>
        <w:t>created the PCC as a corporation sole, assigning functions, giving ancillary powers to facilitate the principal functions and requiring that the PCC’s decisions and actions are reviewed and scrutinised by the Police and Crime Panel</w:t>
      </w:r>
      <w:r>
        <w:rPr>
          <w:rFonts w:eastAsia="Times New Roman"/>
          <w:lang w:eastAsia="en-GB"/>
        </w:rPr>
        <w:t>.</w:t>
      </w:r>
    </w:p>
    <w:p w14:paraId="7608C9C1" w14:textId="77777777" w:rsidR="001B3EDF" w:rsidRPr="00374256" w:rsidRDefault="001B3EDF" w:rsidP="00303437">
      <w:pPr>
        <w:pStyle w:val="ListParagraph"/>
        <w:numPr>
          <w:ilvl w:val="0"/>
          <w:numId w:val="2"/>
        </w:numPr>
        <w:shd w:val="clear" w:color="auto" w:fill="FFFFFF"/>
        <w:spacing w:after="0" w:line="360" w:lineRule="atLeast"/>
        <w:jc w:val="both"/>
        <w:rPr>
          <w:rFonts w:eastAsia="Times New Roman"/>
          <w:lang w:eastAsia="en-GB"/>
        </w:rPr>
      </w:pPr>
      <w:r w:rsidRPr="00374256">
        <w:rPr>
          <w:rFonts w:eastAsia="Times New Roman"/>
          <w:b/>
          <w:lang w:eastAsia="en-GB"/>
        </w:rPr>
        <w:t xml:space="preserve">Police and Crime Commissioner Elections (Declaration of Acceptance of Office) Order 2012 </w:t>
      </w:r>
      <w:r w:rsidRPr="00374256">
        <w:rPr>
          <w:rFonts w:eastAsia="Times New Roman"/>
          <w:lang w:eastAsia="en-GB"/>
        </w:rPr>
        <w:t>requires the PCC to swear an oath of impartiality. It commits the PCC to serve local people without fear or favour and to set out publicly their commitment to tackling their role with integrity, impartiality and fairness</w:t>
      </w:r>
      <w:r>
        <w:rPr>
          <w:rFonts w:eastAsia="Times New Roman"/>
          <w:lang w:eastAsia="en-GB"/>
        </w:rPr>
        <w:t>.</w:t>
      </w:r>
    </w:p>
    <w:p w14:paraId="4A30E567" w14:textId="77777777" w:rsidR="001B3EDF" w:rsidRPr="00374256" w:rsidRDefault="001B3EDF" w:rsidP="00303437">
      <w:pPr>
        <w:pStyle w:val="ListParagraph"/>
        <w:numPr>
          <w:ilvl w:val="0"/>
          <w:numId w:val="2"/>
        </w:numPr>
        <w:shd w:val="clear" w:color="auto" w:fill="FFFFFF"/>
        <w:spacing w:after="0" w:line="360" w:lineRule="atLeast"/>
        <w:jc w:val="both"/>
        <w:rPr>
          <w:rFonts w:eastAsia="Times New Roman"/>
          <w:lang w:eastAsia="en-GB"/>
        </w:rPr>
      </w:pPr>
      <w:r w:rsidRPr="00374256">
        <w:rPr>
          <w:rFonts w:eastAsia="Times New Roman"/>
          <w:b/>
          <w:lang w:eastAsia="en-GB"/>
        </w:rPr>
        <w:t xml:space="preserve">The Policing Protocol Order 2011 </w:t>
      </w:r>
      <w:r w:rsidRPr="00374256">
        <w:rPr>
          <w:rFonts w:eastAsia="Times New Roman"/>
          <w:lang w:eastAsia="en-GB"/>
        </w:rPr>
        <w:t>requires the PCC to abide by the seven Nolan principles of governance in public life</w:t>
      </w:r>
      <w:r>
        <w:rPr>
          <w:rFonts w:eastAsia="Times New Roman"/>
          <w:lang w:eastAsia="en-GB"/>
        </w:rPr>
        <w:t>.</w:t>
      </w:r>
    </w:p>
    <w:p w14:paraId="50DD76A9" w14:textId="77777777" w:rsidR="001B3EDF" w:rsidRPr="00374256" w:rsidRDefault="001B3EDF" w:rsidP="00303437">
      <w:pPr>
        <w:pStyle w:val="ListParagraph"/>
        <w:numPr>
          <w:ilvl w:val="0"/>
          <w:numId w:val="2"/>
        </w:numPr>
        <w:shd w:val="clear" w:color="auto" w:fill="FFFFFF"/>
        <w:spacing w:after="0" w:line="360" w:lineRule="atLeast"/>
        <w:jc w:val="both"/>
        <w:rPr>
          <w:rFonts w:eastAsia="Times New Roman"/>
          <w:lang w:eastAsia="en-GB"/>
        </w:rPr>
      </w:pPr>
      <w:r w:rsidRPr="00374256">
        <w:rPr>
          <w:rFonts w:eastAsia="Times New Roman"/>
          <w:b/>
          <w:lang w:eastAsia="en-GB"/>
        </w:rPr>
        <w:t>The Elected Local Policing Bodies (Specified Information) Order 2011 and the Elected Local Policing Bodies (Specified Information) (Amendment) Order 2012</w:t>
      </w:r>
      <w:r w:rsidRPr="00374256">
        <w:rPr>
          <w:rFonts w:eastAsia="Times New Roman"/>
          <w:lang w:eastAsia="en-GB"/>
        </w:rPr>
        <w:t xml:space="preserve"> sets out the information that must be published by the PCC relating to, amongst other things, decision making.</w:t>
      </w:r>
    </w:p>
    <w:p w14:paraId="5B1E0DDB" w14:textId="77777777" w:rsidR="001B3EDF" w:rsidRDefault="001B3EDF" w:rsidP="00303437">
      <w:pPr>
        <w:pStyle w:val="ListParagraph"/>
        <w:numPr>
          <w:ilvl w:val="0"/>
          <w:numId w:val="2"/>
        </w:numPr>
        <w:shd w:val="clear" w:color="auto" w:fill="FFFFFF"/>
        <w:spacing w:after="0" w:line="360" w:lineRule="atLeast"/>
        <w:jc w:val="both"/>
        <w:rPr>
          <w:rFonts w:eastAsia="Times New Roman"/>
          <w:lang w:eastAsia="en-GB"/>
        </w:rPr>
      </w:pPr>
      <w:r w:rsidRPr="00374256">
        <w:rPr>
          <w:rFonts w:eastAsia="Times New Roman"/>
          <w:b/>
          <w:lang w:eastAsia="en-GB"/>
        </w:rPr>
        <w:t xml:space="preserve">The Financial Management Code of Practice for the Police Service </w:t>
      </w:r>
      <w:r w:rsidRPr="00374256">
        <w:rPr>
          <w:rFonts w:eastAsia="Times New Roman"/>
          <w:lang w:eastAsia="en-GB"/>
        </w:rPr>
        <w:t xml:space="preserve">provides clarity around the financial governance arrangements and specifies the need to embed the principles of good governance into the way the PCC operates. The Code requires the PCC and Chief Constable to establish a Joint Audit Committee with that Committee recommended to consider internal </w:t>
      </w:r>
      <w:r w:rsidRPr="00374256">
        <w:rPr>
          <w:rFonts w:eastAsia="Times New Roman"/>
          <w:lang w:eastAsia="en-GB"/>
        </w:rPr>
        <w:lastRenderedPageBreak/>
        <w:t>and external audit reports and advice according to good governance principles and appropriate risk management arrangements.</w:t>
      </w:r>
    </w:p>
    <w:p w14:paraId="2B0669F2" w14:textId="77777777" w:rsidR="001B3EDF" w:rsidRPr="00374256" w:rsidRDefault="001B3EDF" w:rsidP="00303437">
      <w:pPr>
        <w:pStyle w:val="ListParagraph"/>
        <w:numPr>
          <w:ilvl w:val="0"/>
          <w:numId w:val="2"/>
        </w:numPr>
        <w:shd w:val="clear" w:color="auto" w:fill="FFFFFF"/>
        <w:spacing w:after="0" w:line="360" w:lineRule="atLeast"/>
        <w:jc w:val="both"/>
        <w:rPr>
          <w:rFonts w:eastAsia="Times New Roman"/>
          <w:lang w:eastAsia="en-GB"/>
        </w:rPr>
      </w:pPr>
      <w:r>
        <w:rPr>
          <w:rFonts w:eastAsia="Times New Roman"/>
          <w:b/>
          <w:lang w:eastAsia="en-GB"/>
        </w:rPr>
        <w:t>Public law principles of good decision making</w:t>
      </w:r>
    </w:p>
    <w:p w14:paraId="301B2528" w14:textId="77777777" w:rsidR="001B3EDF" w:rsidRDefault="001B3EDF" w:rsidP="001B3EDF">
      <w:pPr>
        <w:shd w:val="clear" w:color="auto" w:fill="FFFFFF"/>
        <w:spacing w:after="0" w:line="360" w:lineRule="atLeast"/>
        <w:jc w:val="both"/>
        <w:rPr>
          <w:rFonts w:eastAsia="Times New Roman"/>
          <w:b/>
          <w:sz w:val="28"/>
          <w:szCs w:val="28"/>
          <w:lang w:eastAsia="en-GB"/>
        </w:rPr>
      </w:pPr>
    </w:p>
    <w:p w14:paraId="27DE1099" w14:textId="77777777" w:rsidR="001B3EDF" w:rsidRDefault="001B3EDF" w:rsidP="001B3EDF">
      <w:pPr>
        <w:shd w:val="clear" w:color="auto" w:fill="FFFFFF"/>
        <w:spacing w:after="0" w:line="360" w:lineRule="atLeast"/>
        <w:jc w:val="both"/>
        <w:rPr>
          <w:rFonts w:eastAsia="Times New Roman"/>
          <w:b/>
          <w:sz w:val="28"/>
          <w:szCs w:val="28"/>
          <w:lang w:eastAsia="en-GB"/>
        </w:rPr>
      </w:pPr>
      <w:r>
        <w:rPr>
          <w:rFonts w:eastAsia="Times New Roman"/>
          <w:b/>
          <w:sz w:val="28"/>
          <w:szCs w:val="28"/>
          <w:lang w:eastAsia="en-GB"/>
        </w:rPr>
        <w:t>3</w:t>
      </w:r>
      <w:r>
        <w:rPr>
          <w:rFonts w:eastAsia="Times New Roman"/>
          <w:b/>
          <w:sz w:val="28"/>
          <w:szCs w:val="28"/>
          <w:lang w:eastAsia="en-GB"/>
        </w:rPr>
        <w:tab/>
        <w:t>Good Practice Governance Principles</w:t>
      </w:r>
    </w:p>
    <w:p w14:paraId="0D2F9148" w14:textId="77777777" w:rsidR="001B3EDF" w:rsidRDefault="001B3EDF" w:rsidP="001B3EDF">
      <w:pPr>
        <w:shd w:val="clear" w:color="auto" w:fill="FFFFFF"/>
        <w:spacing w:after="0" w:line="360" w:lineRule="atLeast"/>
        <w:jc w:val="both"/>
        <w:rPr>
          <w:rFonts w:eastAsia="Times New Roman"/>
          <w:b/>
          <w:sz w:val="28"/>
          <w:szCs w:val="28"/>
          <w:lang w:eastAsia="en-GB"/>
        </w:rPr>
      </w:pPr>
    </w:p>
    <w:p w14:paraId="74E52682" w14:textId="72BD5073" w:rsidR="001B3EDF" w:rsidRPr="00374256" w:rsidRDefault="001B3EDF" w:rsidP="001B3EDF">
      <w:pPr>
        <w:shd w:val="clear" w:color="auto" w:fill="FFFFFF"/>
        <w:spacing w:after="0" w:line="360" w:lineRule="atLeast"/>
        <w:jc w:val="both"/>
        <w:rPr>
          <w:rFonts w:eastAsia="Times New Roman"/>
          <w:lang w:eastAsia="en-GB"/>
        </w:rPr>
      </w:pPr>
      <w:r w:rsidRPr="00374256">
        <w:rPr>
          <w:rFonts w:eastAsia="Times New Roman"/>
          <w:lang w:eastAsia="en-GB"/>
        </w:rPr>
        <w:t>Decisions taken by the PCC aris</w:t>
      </w:r>
      <w:r w:rsidR="003F002C">
        <w:rPr>
          <w:rFonts w:eastAsia="Times New Roman"/>
          <w:lang w:eastAsia="en-GB"/>
        </w:rPr>
        <w:t>ingg</w:t>
      </w:r>
      <w:r w:rsidRPr="00374256">
        <w:rPr>
          <w:rFonts w:eastAsia="Times New Roman"/>
          <w:lang w:eastAsia="en-GB"/>
        </w:rPr>
        <w:t xml:space="preserve"> from his statutory duties and in exercising his powers, the PCC shall have due regard to:</w:t>
      </w:r>
    </w:p>
    <w:p w14:paraId="160341A4" w14:textId="77777777" w:rsidR="001B3EDF" w:rsidRPr="00374256" w:rsidRDefault="001B3EDF" w:rsidP="001B3EDF">
      <w:pPr>
        <w:shd w:val="clear" w:color="auto" w:fill="FFFFFF"/>
        <w:spacing w:after="0" w:line="360" w:lineRule="atLeast"/>
        <w:jc w:val="both"/>
        <w:rPr>
          <w:rFonts w:eastAsia="Times New Roman"/>
          <w:b/>
          <w:lang w:eastAsia="en-GB"/>
        </w:rPr>
      </w:pPr>
    </w:p>
    <w:p w14:paraId="15F9E029" w14:textId="77777777" w:rsidR="001B3EDF" w:rsidRPr="00374256" w:rsidRDefault="001B3EDF" w:rsidP="00303437">
      <w:pPr>
        <w:pStyle w:val="ListParagraph"/>
        <w:numPr>
          <w:ilvl w:val="0"/>
          <w:numId w:val="4"/>
        </w:numPr>
        <w:shd w:val="clear" w:color="auto" w:fill="FFFFFF"/>
        <w:spacing w:after="0" w:line="360" w:lineRule="atLeast"/>
        <w:jc w:val="both"/>
        <w:rPr>
          <w:rFonts w:eastAsia="Times New Roman"/>
          <w:b/>
          <w:lang w:eastAsia="en-GB"/>
        </w:rPr>
      </w:pPr>
      <w:r w:rsidRPr="00374256">
        <w:rPr>
          <w:rFonts w:eastAsia="Times New Roman"/>
          <w:b/>
          <w:lang w:eastAsia="en-GB"/>
        </w:rPr>
        <w:t>Standards in Public Life, 2005 as amended by the 14</w:t>
      </w:r>
      <w:r w:rsidRPr="00374256">
        <w:rPr>
          <w:rFonts w:eastAsia="Times New Roman"/>
          <w:b/>
          <w:vertAlign w:val="superscript"/>
          <w:lang w:eastAsia="en-GB"/>
        </w:rPr>
        <w:t>th</w:t>
      </w:r>
      <w:r w:rsidRPr="00374256">
        <w:rPr>
          <w:rFonts w:eastAsia="Times New Roman"/>
          <w:b/>
          <w:lang w:eastAsia="en-GB"/>
        </w:rPr>
        <w:t xml:space="preserve"> report of the Committee on Standards in Public Life (the ‘Nolan principles’</w:t>
      </w:r>
      <w:r>
        <w:rPr>
          <w:rFonts w:eastAsia="Times New Roman"/>
          <w:b/>
          <w:lang w:eastAsia="en-GB"/>
        </w:rPr>
        <w:t>);</w:t>
      </w:r>
      <w:r w:rsidRPr="00374256">
        <w:rPr>
          <w:rFonts w:eastAsia="Times New Roman"/>
          <w:b/>
          <w:lang w:eastAsia="en-GB"/>
        </w:rPr>
        <w:t xml:space="preserve"> </w:t>
      </w:r>
    </w:p>
    <w:p w14:paraId="2E19457C" w14:textId="77777777" w:rsidR="001B3EDF" w:rsidRPr="00374256" w:rsidRDefault="001B3EDF" w:rsidP="001B3EDF">
      <w:pPr>
        <w:shd w:val="clear" w:color="auto" w:fill="FFFFFF"/>
        <w:spacing w:after="0" w:line="360" w:lineRule="atLeast"/>
        <w:jc w:val="both"/>
        <w:rPr>
          <w:rFonts w:eastAsia="Times New Roman"/>
          <w:b/>
          <w:lang w:eastAsia="en-GB"/>
        </w:rPr>
      </w:pPr>
    </w:p>
    <w:p w14:paraId="1A8B6F8E" w14:textId="77777777" w:rsidR="001B3EDF" w:rsidRDefault="001B3EDF" w:rsidP="00303437">
      <w:pPr>
        <w:pStyle w:val="ListParagraph"/>
        <w:numPr>
          <w:ilvl w:val="0"/>
          <w:numId w:val="3"/>
        </w:numPr>
        <w:shd w:val="clear" w:color="auto" w:fill="FFFFFF"/>
        <w:spacing w:after="0" w:line="360" w:lineRule="atLeast"/>
        <w:jc w:val="both"/>
        <w:rPr>
          <w:rFonts w:eastAsia="Times New Roman"/>
          <w:lang w:eastAsia="en-GB"/>
        </w:rPr>
      </w:pPr>
      <w:r w:rsidRPr="00374256">
        <w:rPr>
          <w:rFonts w:eastAsia="Times New Roman"/>
          <w:b/>
          <w:lang w:eastAsia="en-GB"/>
        </w:rPr>
        <w:t xml:space="preserve">Good governance principles in accordance with the Chartered Institute of Public Finance &amp; Accountancy (CIPFA) Good Governance Standard for Public Services 2014.  </w:t>
      </w:r>
      <w:r w:rsidRPr="00374256">
        <w:rPr>
          <w:rFonts w:eastAsia="Times New Roman"/>
          <w:lang w:eastAsia="en-GB"/>
        </w:rPr>
        <w:t>The Standard builds on the Nolan principles for the conduct of individuals in public life, by setting out six core principles for good governance of public service organisation</w:t>
      </w:r>
      <w:r>
        <w:rPr>
          <w:rFonts w:eastAsia="Times New Roman"/>
          <w:lang w:eastAsia="en-GB"/>
        </w:rPr>
        <w:t>s;</w:t>
      </w:r>
    </w:p>
    <w:p w14:paraId="72435554" w14:textId="77777777" w:rsidR="001B3EDF" w:rsidRPr="00374256" w:rsidRDefault="001B3EDF" w:rsidP="001B3EDF">
      <w:pPr>
        <w:pStyle w:val="ListParagraph"/>
        <w:shd w:val="clear" w:color="auto" w:fill="FFFFFF"/>
        <w:spacing w:after="0" w:line="360" w:lineRule="atLeast"/>
        <w:jc w:val="both"/>
        <w:rPr>
          <w:rFonts w:eastAsia="Times New Roman"/>
          <w:lang w:eastAsia="en-GB"/>
        </w:rPr>
      </w:pPr>
    </w:p>
    <w:p w14:paraId="1C2D60F1" w14:textId="77777777" w:rsidR="001B3EDF" w:rsidRDefault="001B3EDF" w:rsidP="00303437">
      <w:pPr>
        <w:pStyle w:val="ListParagraph"/>
        <w:numPr>
          <w:ilvl w:val="0"/>
          <w:numId w:val="3"/>
        </w:numPr>
        <w:shd w:val="clear" w:color="auto" w:fill="FFFFFF"/>
        <w:spacing w:after="0" w:line="360" w:lineRule="atLeast"/>
        <w:jc w:val="both"/>
        <w:rPr>
          <w:rFonts w:eastAsia="Times New Roman"/>
          <w:b/>
          <w:lang w:eastAsia="en-GB"/>
        </w:rPr>
      </w:pPr>
      <w:r w:rsidRPr="001B3EDF">
        <w:rPr>
          <w:rFonts w:eastAsia="Times New Roman"/>
          <w:b/>
          <w:lang w:eastAsia="en-GB"/>
        </w:rPr>
        <w:t>Good Administrative practice in accordance with the Commission for Local Administration, Good Administrative Practice 2001;</w:t>
      </w:r>
    </w:p>
    <w:p w14:paraId="13ECC6E9" w14:textId="77777777" w:rsidR="001B3EDF" w:rsidRPr="001B3EDF" w:rsidRDefault="001B3EDF" w:rsidP="001B3EDF">
      <w:pPr>
        <w:shd w:val="clear" w:color="auto" w:fill="FFFFFF"/>
        <w:spacing w:after="0" w:line="360" w:lineRule="atLeast"/>
        <w:jc w:val="both"/>
        <w:rPr>
          <w:rFonts w:eastAsia="Times New Roman"/>
          <w:b/>
          <w:lang w:eastAsia="en-GB"/>
        </w:rPr>
      </w:pPr>
    </w:p>
    <w:p w14:paraId="7D978573" w14:textId="77777777" w:rsidR="001B3EDF" w:rsidRDefault="001B3EDF" w:rsidP="00303437">
      <w:pPr>
        <w:pStyle w:val="ListParagraph"/>
        <w:numPr>
          <w:ilvl w:val="0"/>
          <w:numId w:val="3"/>
        </w:numPr>
        <w:shd w:val="clear" w:color="auto" w:fill="FFFFFF"/>
        <w:spacing w:after="0" w:line="360" w:lineRule="atLeast"/>
        <w:jc w:val="both"/>
        <w:rPr>
          <w:rFonts w:eastAsia="Times New Roman"/>
          <w:b/>
          <w:lang w:eastAsia="en-GB"/>
        </w:rPr>
      </w:pPr>
      <w:r w:rsidRPr="00564270">
        <w:rPr>
          <w:rFonts w:eastAsia="Times New Roman"/>
          <w:lang w:eastAsia="en-GB"/>
        </w:rPr>
        <w:t>The views of the people of Warwickshire and key stakeholders, as appropriate</w:t>
      </w:r>
      <w:r>
        <w:rPr>
          <w:rFonts w:eastAsia="Times New Roman"/>
          <w:lang w:eastAsia="en-GB"/>
        </w:rPr>
        <w:t>.</w:t>
      </w:r>
    </w:p>
    <w:p w14:paraId="38E77E72" w14:textId="77777777" w:rsidR="001B3EDF" w:rsidRDefault="001B3EDF" w:rsidP="001B3EDF">
      <w:pPr>
        <w:shd w:val="clear" w:color="auto" w:fill="FFFFFF"/>
        <w:spacing w:after="0" w:line="360" w:lineRule="atLeast"/>
        <w:rPr>
          <w:rFonts w:eastAsia="Times New Roman"/>
          <w:b/>
          <w:sz w:val="28"/>
          <w:szCs w:val="28"/>
          <w:lang w:eastAsia="en-GB"/>
        </w:rPr>
      </w:pPr>
    </w:p>
    <w:p w14:paraId="23EAA406" w14:textId="77777777" w:rsidR="001B3EDF" w:rsidRPr="00374256" w:rsidRDefault="001B3EDF" w:rsidP="001B3EDF">
      <w:pPr>
        <w:shd w:val="clear" w:color="auto" w:fill="FFFFFF"/>
        <w:spacing w:after="0" w:line="360" w:lineRule="atLeast"/>
        <w:jc w:val="both"/>
        <w:rPr>
          <w:rFonts w:eastAsia="Times New Roman"/>
          <w:b/>
          <w:sz w:val="28"/>
          <w:szCs w:val="28"/>
          <w:lang w:eastAsia="en-GB"/>
        </w:rPr>
      </w:pPr>
      <w:r>
        <w:rPr>
          <w:rFonts w:eastAsia="Times New Roman"/>
          <w:b/>
          <w:sz w:val="28"/>
          <w:szCs w:val="28"/>
          <w:lang w:eastAsia="en-GB"/>
        </w:rPr>
        <w:t>4</w:t>
      </w:r>
      <w:r>
        <w:rPr>
          <w:rFonts w:eastAsia="Times New Roman"/>
          <w:b/>
          <w:sz w:val="28"/>
          <w:szCs w:val="28"/>
          <w:lang w:eastAsia="en-GB"/>
        </w:rPr>
        <w:tab/>
        <w:t>Functions of the Police and Crime Commissioner</w:t>
      </w:r>
    </w:p>
    <w:p w14:paraId="7BA32E07" w14:textId="77777777" w:rsidR="001B3EDF" w:rsidRPr="00326CAD" w:rsidRDefault="001B3EDF" w:rsidP="001B3EDF">
      <w:pPr>
        <w:shd w:val="clear" w:color="auto" w:fill="FFFFFF"/>
        <w:spacing w:after="0" w:line="360" w:lineRule="atLeast"/>
        <w:jc w:val="both"/>
        <w:rPr>
          <w:rFonts w:eastAsia="Times New Roman"/>
          <w:lang w:eastAsia="en-GB"/>
        </w:rPr>
      </w:pPr>
    </w:p>
    <w:p w14:paraId="3E29B70F" w14:textId="77777777" w:rsidR="001B3EDF" w:rsidRDefault="001B3EDF" w:rsidP="001B3EDF">
      <w:pPr>
        <w:shd w:val="clear" w:color="auto" w:fill="FFFFFF"/>
        <w:spacing w:after="0" w:line="360" w:lineRule="atLeast"/>
        <w:jc w:val="both"/>
        <w:rPr>
          <w:rFonts w:eastAsia="Times New Roman"/>
          <w:lang w:eastAsia="en-GB"/>
        </w:rPr>
      </w:pPr>
      <w:r w:rsidRPr="00B83B73">
        <w:rPr>
          <w:rFonts w:eastAsia="Times New Roman"/>
          <w:lang w:eastAsia="en-GB"/>
        </w:rPr>
        <w:t>The Police and Crime Commissioner exercise</w:t>
      </w:r>
      <w:r>
        <w:rPr>
          <w:rFonts w:eastAsia="Times New Roman"/>
          <w:lang w:eastAsia="en-GB"/>
        </w:rPr>
        <w:t>s</w:t>
      </w:r>
      <w:r w:rsidRPr="00B83B73">
        <w:rPr>
          <w:rFonts w:eastAsia="Times New Roman"/>
          <w:lang w:eastAsia="en-GB"/>
        </w:rPr>
        <w:t xml:space="preserve"> a number of functions under the Police </w:t>
      </w:r>
      <w:r>
        <w:rPr>
          <w:rFonts w:eastAsia="Times New Roman"/>
          <w:lang w:eastAsia="en-GB"/>
        </w:rPr>
        <w:t>R</w:t>
      </w:r>
      <w:r w:rsidRPr="00B83B73">
        <w:rPr>
          <w:rFonts w:eastAsia="Times New Roman"/>
          <w:lang w:eastAsia="en-GB"/>
        </w:rPr>
        <w:t>eform and Social Responsibility Act 2011</w:t>
      </w:r>
      <w:r>
        <w:rPr>
          <w:rFonts w:eastAsia="Times New Roman"/>
          <w:lang w:eastAsia="en-GB"/>
        </w:rPr>
        <w:t xml:space="preserve"> including as set out below.</w:t>
      </w:r>
    </w:p>
    <w:p w14:paraId="61607F4E" w14:textId="77777777" w:rsidR="001B3EDF" w:rsidRDefault="001B3EDF" w:rsidP="001B3EDF">
      <w:pPr>
        <w:shd w:val="clear" w:color="auto" w:fill="FFFFFF"/>
        <w:spacing w:after="0" w:line="360" w:lineRule="atLeast"/>
        <w:jc w:val="both"/>
        <w:rPr>
          <w:rFonts w:eastAsia="Times New Roman"/>
          <w:lang w:eastAsia="en-GB"/>
        </w:rPr>
      </w:pPr>
    </w:p>
    <w:p w14:paraId="4E00D0C4" w14:textId="77777777" w:rsidR="001B3EDF" w:rsidRPr="000A7051" w:rsidRDefault="001B3EDF" w:rsidP="001B3EDF">
      <w:pPr>
        <w:spacing w:line="240" w:lineRule="auto"/>
        <w:jc w:val="both"/>
      </w:pPr>
      <w:r>
        <w:rPr>
          <w:rFonts w:eastAsia="Times New Roman"/>
          <w:lang w:eastAsia="en-GB"/>
        </w:rPr>
        <w:t>T</w:t>
      </w:r>
      <w:r>
        <w:t>he PCC</w:t>
      </w:r>
      <w:r w:rsidRPr="00201581">
        <w:t xml:space="preserve"> publish</w:t>
      </w:r>
      <w:r>
        <w:t>es</w:t>
      </w:r>
      <w:r w:rsidRPr="00201581">
        <w:t xml:space="preserve"> a </w:t>
      </w:r>
      <w:r w:rsidRPr="00E92729">
        <w:t>Police and Crime Plan</w:t>
      </w:r>
      <w:r w:rsidRPr="00201581">
        <w:t xml:space="preserve"> </w:t>
      </w:r>
      <w:r>
        <w:t xml:space="preserve">(the Plan) </w:t>
      </w:r>
      <w:r w:rsidRPr="00201581">
        <w:t xml:space="preserve">setting out the aims and objectives to guide the provision of </w:t>
      </w:r>
      <w:r>
        <w:t>p</w:t>
      </w:r>
      <w:r w:rsidRPr="00201581">
        <w:t xml:space="preserve">olicing </w:t>
      </w:r>
      <w:r>
        <w:t>s</w:t>
      </w:r>
      <w:r w:rsidRPr="00201581">
        <w:t>ervices</w:t>
      </w:r>
      <w:r w:rsidRPr="000A7051">
        <w:t xml:space="preserve"> in </w:t>
      </w:r>
      <w:r>
        <w:t>Warwickshire</w:t>
      </w:r>
      <w:r w:rsidRPr="000A7051">
        <w:t xml:space="preserve">. The Plan may also contain the Commissioner’s aims and intentions for other aspects of the Commissioner’s statutory responsibilities. </w:t>
      </w:r>
    </w:p>
    <w:p w14:paraId="1055CB98" w14:textId="77777777" w:rsidR="001B3EDF" w:rsidRDefault="001B3EDF" w:rsidP="001B3EDF">
      <w:pPr>
        <w:spacing w:line="240" w:lineRule="auto"/>
        <w:jc w:val="both"/>
      </w:pPr>
      <w:r w:rsidRPr="000A7051">
        <w:t xml:space="preserve">The </w:t>
      </w:r>
      <w:r>
        <w:t>PCC</w:t>
      </w:r>
      <w:r w:rsidRPr="000A7051">
        <w:t xml:space="preserve"> must present his Plan or any revision of the Plan to the Police and Crime Panel and must have regard to any report or recommendations made by the Panel.</w:t>
      </w:r>
    </w:p>
    <w:p w14:paraId="46703845" w14:textId="77777777" w:rsidR="001B3EDF" w:rsidRDefault="001B3EDF" w:rsidP="001B3EDF">
      <w:pPr>
        <w:spacing w:line="240" w:lineRule="auto"/>
        <w:jc w:val="both"/>
      </w:pPr>
      <w:r>
        <w:t>Each year the Police and Crime Commissioner publishes an Annual Report identifying the extent to which the objectives of the Police and Crime Plan are being achieved.  The Annual Report is presented to and scrutinised by the Police and Crime Panel.</w:t>
      </w:r>
    </w:p>
    <w:p w14:paraId="5A2B95CB" w14:textId="77777777" w:rsidR="001B3EDF" w:rsidRPr="0052612A" w:rsidRDefault="001B3EDF" w:rsidP="001B3EDF">
      <w:pPr>
        <w:spacing w:after="0"/>
        <w:jc w:val="both"/>
      </w:pPr>
      <w:r>
        <w:t>The PCC publishes a proposed Precept by the 1 February in each year and following review by the Police and Crime Panel shall issue the precept by the prescribed date of 1 March.</w:t>
      </w:r>
    </w:p>
    <w:p w14:paraId="551E67B5" w14:textId="77777777" w:rsidR="001B3EDF" w:rsidRDefault="001B3EDF" w:rsidP="001B3EDF">
      <w:pPr>
        <w:spacing w:after="0"/>
        <w:jc w:val="both"/>
      </w:pPr>
    </w:p>
    <w:p w14:paraId="0A7D783A" w14:textId="77777777" w:rsidR="00871A41" w:rsidRDefault="00871A41" w:rsidP="00B94C0C">
      <w:pPr>
        <w:spacing w:after="0"/>
        <w:jc w:val="both"/>
      </w:pPr>
    </w:p>
    <w:p w14:paraId="0A7A0B03" w14:textId="77777777" w:rsidR="001B3EDF" w:rsidRPr="00201581" w:rsidRDefault="001B3EDF" w:rsidP="001B3EDF">
      <w:pPr>
        <w:shd w:val="clear" w:color="auto" w:fill="FFFFFF"/>
        <w:spacing w:after="0" w:line="240" w:lineRule="auto"/>
        <w:jc w:val="both"/>
        <w:outlineLvl w:val="1"/>
      </w:pPr>
    </w:p>
    <w:p w14:paraId="07051F93" w14:textId="77777777" w:rsidR="001B3EDF" w:rsidRPr="00374256" w:rsidRDefault="001B3EDF" w:rsidP="001B3EDF">
      <w:pPr>
        <w:spacing w:line="240" w:lineRule="auto"/>
        <w:jc w:val="both"/>
        <w:rPr>
          <w:b/>
          <w:sz w:val="28"/>
          <w:szCs w:val="28"/>
        </w:rPr>
      </w:pPr>
      <w:r>
        <w:rPr>
          <w:b/>
          <w:sz w:val="28"/>
          <w:szCs w:val="28"/>
        </w:rPr>
        <w:lastRenderedPageBreak/>
        <w:t>5</w:t>
      </w:r>
      <w:r w:rsidRPr="00374256">
        <w:rPr>
          <w:b/>
          <w:sz w:val="28"/>
          <w:szCs w:val="28"/>
        </w:rPr>
        <w:tab/>
        <w:t>Decision making process</w:t>
      </w:r>
    </w:p>
    <w:p w14:paraId="6A9907B1" w14:textId="77777777" w:rsidR="001B3EDF" w:rsidRDefault="001B3EDF" w:rsidP="001B3EDF">
      <w:pPr>
        <w:spacing w:line="240" w:lineRule="auto"/>
        <w:jc w:val="both"/>
      </w:pPr>
      <w:r>
        <w:t xml:space="preserve">Through adopting principles of good governance the PCC will ensure that the right climate is set for decision making.  Effective decision making is underpinned by the provision of good quality information.  Financial performance, risk and equality information will be significant in most decisions the PCC makes and will form part of the decision making process.  The basic process to be followed, prior to each decision being made will, depending upon factors such as the complexity, impact, cost and public interest associated with the decision, be as set out below.  </w:t>
      </w:r>
    </w:p>
    <w:p w14:paraId="0BC90179" w14:textId="77777777" w:rsidR="001B3EDF" w:rsidRDefault="001B3EDF" w:rsidP="00303437">
      <w:pPr>
        <w:pStyle w:val="ListParagraph"/>
        <w:numPr>
          <w:ilvl w:val="0"/>
          <w:numId w:val="3"/>
        </w:numPr>
        <w:spacing w:line="240" w:lineRule="auto"/>
        <w:jc w:val="both"/>
      </w:pPr>
      <w:r>
        <w:t>All relevant material, information, and facts will be assembled,</w:t>
      </w:r>
    </w:p>
    <w:p w14:paraId="394A2F36" w14:textId="77777777" w:rsidR="001B3EDF" w:rsidRDefault="001B3EDF" w:rsidP="00303437">
      <w:pPr>
        <w:pStyle w:val="ListParagraph"/>
        <w:numPr>
          <w:ilvl w:val="0"/>
          <w:numId w:val="3"/>
        </w:numPr>
        <w:spacing w:line="240" w:lineRule="auto"/>
        <w:jc w:val="both"/>
      </w:pPr>
      <w:r>
        <w:t>Consultation with all interested and affected parties,</w:t>
      </w:r>
    </w:p>
    <w:p w14:paraId="6E02038E" w14:textId="77777777" w:rsidR="001B3EDF" w:rsidRDefault="001B3EDF" w:rsidP="00303437">
      <w:pPr>
        <w:pStyle w:val="ListParagraph"/>
        <w:numPr>
          <w:ilvl w:val="0"/>
          <w:numId w:val="3"/>
        </w:numPr>
        <w:spacing w:line="240" w:lineRule="auto"/>
        <w:jc w:val="both"/>
      </w:pPr>
      <w:r>
        <w:t>Consideration of all available courses of action</w:t>
      </w:r>
    </w:p>
    <w:p w14:paraId="5E4F4FBA" w14:textId="77777777" w:rsidR="001B3EDF" w:rsidRDefault="001B3EDF" w:rsidP="00303437">
      <w:pPr>
        <w:pStyle w:val="ListParagraph"/>
        <w:numPr>
          <w:ilvl w:val="0"/>
          <w:numId w:val="3"/>
        </w:numPr>
        <w:spacing w:line="240" w:lineRule="auto"/>
        <w:jc w:val="both"/>
      </w:pPr>
      <w:r>
        <w:t>Specialist advice sought,</w:t>
      </w:r>
    </w:p>
    <w:p w14:paraId="23B27733" w14:textId="77777777" w:rsidR="001B3EDF" w:rsidRDefault="001B3EDF" w:rsidP="00303437">
      <w:pPr>
        <w:pStyle w:val="ListParagraph"/>
        <w:numPr>
          <w:ilvl w:val="0"/>
          <w:numId w:val="3"/>
        </w:numPr>
        <w:spacing w:line="240" w:lineRule="auto"/>
        <w:jc w:val="both"/>
      </w:pPr>
      <w:r>
        <w:t>Information presented which focuses on core issues, consistent with the PCC’s aims and objectives,</w:t>
      </w:r>
    </w:p>
    <w:p w14:paraId="1093B732" w14:textId="77777777" w:rsidR="001B3EDF" w:rsidRDefault="001B3EDF" w:rsidP="00303437">
      <w:pPr>
        <w:pStyle w:val="ListParagraph"/>
        <w:numPr>
          <w:ilvl w:val="0"/>
          <w:numId w:val="3"/>
        </w:numPr>
        <w:spacing w:line="240" w:lineRule="auto"/>
        <w:jc w:val="both"/>
      </w:pPr>
      <w:r>
        <w:t>Value for money considerations taken into account as well as the financial implications of the decision</w:t>
      </w:r>
    </w:p>
    <w:p w14:paraId="0DE7C093" w14:textId="77777777" w:rsidR="001B3EDF" w:rsidRDefault="001B3EDF" w:rsidP="001B3EDF">
      <w:pPr>
        <w:spacing w:line="240" w:lineRule="auto"/>
        <w:jc w:val="both"/>
      </w:pPr>
      <w:r w:rsidRPr="000A7051">
        <w:t xml:space="preserve">The </w:t>
      </w:r>
      <w:r>
        <w:t>PC</w:t>
      </w:r>
      <w:r w:rsidRPr="000A7051">
        <w:t>C</w:t>
      </w:r>
      <w:r>
        <w:t xml:space="preserve"> will ensure </w:t>
      </w:r>
      <w:r w:rsidRPr="00884198">
        <w:t>that a record of</w:t>
      </w:r>
      <w:r w:rsidRPr="00374256">
        <w:t xml:space="preserve"> key</w:t>
      </w:r>
      <w:r w:rsidRPr="00884198">
        <w:t xml:space="preserve"> decisions taken </w:t>
      </w:r>
      <w:r>
        <w:t>is</w:t>
      </w:r>
      <w:r w:rsidRPr="00884198">
        <w:t xml:space="preserve"> kept and published on the OPCC website</w:t>
      </w:r>
      <w:r>
        <w:t xml:space="preserve"> (see S</w:t>
      </w:r>
      <w:r w:rsidRPr="00884198">
        <w:t xml:space="preserve">ections 8 and 9 below). The </w:t>
      </w:r>
      <w:r>
        <w:t>PC</w:t>
      </w:r>
      <w:r w:rsidRPr="00884198">
        <w:t xml:space="preserve">C will ensure that all recorded decisions are notified to the Police and Crime Panel. </w:t>
      </w:r>
    </w:p>
    <w:p w14:paraId="0ED37EDA" w14:textId="77999714" w:rsidR="00F46031" w:rsidRDefault="001B3EDF" w:rsidP="001B3EDF">
      <w:pPr>
        <w:spacing w:line="240" w:lineRule="auto"/>
        <w:jc w:val="both"/>
      </w:pPr>
      <w:r>
        <w:t xml:space="preserve">To ensure an effective and efficient policing service in Warwickshire, the PCC has made arrangements for the delegation of a number of his responsibilities and associated decision making to specified Chief Officers. The framework setting out the delegation of responsibilities and decision making is the </w:t>
      </w:r>
      <w:r w:rsidRPr="0052612A">
        <w:t>Scheme of Delegation</w:t>
      </w:r>
      <w:r>
        <w:t xml:space="preserve"> which is incorporated into the Joint Corporate Governance Framework.  The Governance Framework sets out the parameters within which the delegations are to be exercised and can be found on the PCC’s website at </w:t>
      </w:r>
      <w:hyperlink r:id="rId12" w:history="1">
        <w:r w:rsidR="00F46031" w:rsidRPr="00EE5AFC">
          <w:rPr>
            <w:rStyle w:val="Hyperlink"/>
            <w:rFonts w:cstheme="minorBidi"/>
          </w:rPr>
          <w:t>www.warwickshire-pcc.gov.uk/key-information/your-right-to-information/publication-scheme/policies-and-procedures/joint-corporate-governance-framework-august-2017-final/</w:t>
        </w:r>
      </w:hyperlink>
    </w:p>
    <w:p w14:paraId="62B6348E" w14:textId="77777777" w:rsidR="001B3EDF" w:rsidRPr="000A7051" w:rsidRDefault="001B3EDF" w:rsidP="001B3EDF">
      <w:pPr>
        <w:spacing w:line="240" w:lineRule="auto"/>
        <w:jc w:val="both"/>
      </w:pPr>
      <w:r>
        <w:t>The Framework is kept</w:t>
      </w:r>
      <w:r w:rsidRPr="000A7051">
        <w:t xml:space="preserve"> un</w:t>
      </w:r>
      <w:r>
        <w:t>der periodic review.</w:t>
      </w:r>
    </w:p>
    <w:p w14:paraId="030B10BE" w14:textId="77777777" w:rsidR="001B3EDF" w:rsidRDefault="001B3EDF" w:rsidP="001B3EDF">
      <w:pPr>
        <w:spacing w:line="240" w:lineRule="auto"/>
        <w:jc w:val="both"/>
      </w:pPr>
      <w:r>
        <w:t>The PCC</w:t>
      </w:r>
      <w:r w:rsidRPr="000A7051">
        <w:t xml:space="preserve"> may require any action or decision</w:t>
      </w:r>
      <w:r>
        <w:t>,</w:t>
      </w:r>
      <w:r w:rsidRPr="000A7051">
        <w:t xml:space="preserve"> otherwise auth</w:t>
      </w:r>
      <w:r>
        <w:t>orised by the scheme of delegation,</w:t>
      </w:r>
      <w:r w:rsidRPr="000A7051">
        <w:t xml:space="preserve"> to be authorised by him. </w:t>
      </w:r>
      <w:r>
        <w:t xml:space="preserve">Furthermore, any decisions that the PCC is likely to regard as novel, contentious, repercussive or likely to be politically sensitive must be brought to the PCC’s attention by the relevant Chief Officer.  </w:t>
      </w:r>
    </w:p>
    <w:p w14:paraId="5A8E04BD" w14:textId="77777777" w:rsidR="001B3EDF" w:rsidRDefault="001B3EDF" w:rsidP="001B3EDF">
      <w:pPr>
        <w:spacing w:line="240" w:lineRule="auto"/>
        <w:jc w:val="both"/>
      </w:pPr>
      <w:r w:rsidRPr="000A7051">
        <w:t xml:space="preserve">All decisions of significant public interest will be </w:t>
      </w:r>
      <w:r w:rsidRPr="00E92729">
        <w:t xml:space="preserve">published on the </w:t>
      </w:r>
      <w:r>
        <w:t xml:space="preserve">OPCC </w:t>
      </w:r>
      <w:r w:rsidRPr="00E92729">
        <w:t>website</w:t>
      </w:r>
      <w:r>
        <w:t>, unless they are exempt from disclosure by the Freedom of Information Act 2000 or other enactment.</w:t>
      </w:r>
    </w:p>
    <w:p w14:paraId="1558BDF4" w14:textId="77777777" w:rsidR="001B3EDF" w:rsidRPr="000A7051" w:rsidRDefault="001B3EDF" w:rsidP="001B3EDF">
      <w:pPr>
        <w:spacing w:line="240" w:lineRule="auto"/>
        <w:jc w:val="both"/>
      </w:pPr>
      <w:r>
        <w:t>The Chief Executive (Monitoring Officer) and Chief Finance Officers have statutory responsibilities for identifying and reporting any contraventions of law or maladministration. These post holders will be responsible for ensuring compliance to good governance principles of decision making and this decision making process.</w:t>
      </w:r>
    </w:p>
    <w:p w14:paraId="087BE45A" w14:textId="77777777" w:rsidR="001B3EDF" w:rsidRDefault="001B3EDF" w:rsidP="001B3EDF">
      <w:pPr>
        <w:spacing w:after="0"/>
        <w:jc w:val="both"/>
      </w:pPr>
    </w:p>
    <w:p w14:paraId="13F418B4" w14:textId="77777777" w:rsidR="001B3EDF" w:rsidRPr="00FE45C9" w:rsidRDefault="001B3EDF" w:rsidP="001B3EDF">
      <w:pPr>
        <w:spacing w:after="0"/>
        <w:jc w:val="both"/>
        <w:rPr>
          <w:b/>
          <w:sz w:val="28"/>
          <w:szCs w:val="28"/>
        </w:rPr>
      </w:pPr>
      <w:r>
        <w:rPr>
          <w:b/>
          <w:sz w:val="28"/>
          <w:szCs w:val="28"/>
        </w:rPr>
        <w:t>6</w:t>
      </w:r>
      <w:r>
        <w:rPr>
          <w:b/>
          <w:sz w:val="28"/>
          <w:szCs w:val="28"/>
        </w:rPr>
        <w:tab/>
        <w:t xml:space="preserve"> Consultation</w:t>
      </w:r>
    </w:p>
    <w:p w14:paraId="16647A39" w14:textId="77777777" w:rsidR="001B3EDF" w:rsidRDefault="001B3EDF" w:rsidP="001B3EDF">
      <w:pPr>
        <w:spacing w:after="0"/>
        <w:jc w:val="both"/>
      </w:pPr>
    </w:p>
    <w:p w14:paraId="27B1A577" w14:textId="77777777" w:rsidR="001B3EDF" w:rsidRDefault="001B3EDF" w:rsidP="001B3EDF">
      <w:pPr>
        <w:spacing w:after="0"/>
        <w:jc w:val="both"/>
      </w:pPr>
      <w:r>
        <w:t>In formulating policy and strategy appropriate consultation with key stakeholders is undertaken, where appropriate. There are a number of issues on which the PCC has a statutory duty to consult. For example the PCC must consult on precept proposals and consult with victims of crime on the Police and Crime Plan. Consultation increases the accountability of the PCC.</w:t>
      </w:r>
    </w:p>
    <w:p w14:paraId="65258804" w14:textId="77777777" w:rsidR="001B3EDF" w:rsidRDefault="001B3EDF" w:rsidP="001B3EDF">
      <w:pPr>
        <w:spacing w:after="0"/>
        <w:jc w:val="both"/>
      </w:pPr>
    </w:p>
    <w:p w14:paraId="6BDFEDB9" w14:textId="77777777" w:rsidR="001B3EDF" w:rsidRPr="000A7051" w:rsidRDefault="001B3EDF" w:rsidP="001B3EDF">
      <w:pPr>
        <w:spacing w:line="240" w:lineRule="auto"/>
        <w:jc w:val="both"/>
      </w:pPr>
      <w:r>
        <w:t>The PCC</w:t>
      </w:r>
      <w:r w:rsidRPr="000A7051">
        <w:t xml:space="preserve"> in exercising any power or discretion shall endeavour to consult  the Chief Constable whenever the matter may have an impact on the provision of policing or any operational matter and shall always do so where this is a statutory requirement.</w:t>
      </w:r>
      <w:r>
        <w:t xml:space="preserve"> At all times the PCC shall respect the operational independence of the Chief Constable.</w:t>
      </w:r>
    </w:p>
    <w:p w14:paraId="08AFBE1C" w14:textId="77777777" w:rsidR="001B3EDF" w:rsidRPr="000A7051" w:rsidRDefault="001B3EDF" w:rsidP="001B3EDF">
      <w:pPr>
        <w:spacing w:line="240" w:lineRule="auto"/>
        <w:jc w:val="both"/>
      </w:pPr>
      <w:r>
        <w:t>Reciprocally, i</w:t>
      </w:r>
      <w:r w:rsidRPr="000A7051">
        <w:t xml:space="preserve">n some cases the Chief Constable or other </w:t>
      </w:r>
      <w:r>
        <w:t xml:space="preserve">Chief </w:t>
      </w:r>
      <w:r w:rsidRPr="000A7051">
        <w:t xml:space="preserve">Officer exercising powers under </w:t>
      </w:r>
      <w:r w:rsidRPr="00E92729">
        <w:t>the scheme of delegation or otherwise authorised by general operation of law may consult</w:t>
      </w:r>
      <w:r>
        <w:t xml:space="preserve"> the PCC</w:t>
      </w:r>
      <w:r w:rsidRPr="000A7051">
        <w:t>.</w:t>
      </w:r>
      <w:r>
        <w:t xml:space="preserve"> </w:t>
      </w:r>
    </w:p>
    <w:p w14:paraId="591CDADD" w14:textId="77777777" w:rsidR="001B3EDF" w:rsidRDefault="001B3EDF" w:rsidP="001B3EDF">
      <w:pPr>
        <w:spacing w:line="240" w:lineRule="auto"/>
        <w:jc w:val="both"/>
      </w:pPr>
      <w:r>
        <w:t>S</w:t>
      </w:r>
      <w:r w:rsidRPr="000A7051">
        <w:t xml:space="preserve">uch </w:t>
      </w:r>
      <w:r>
        <w:t>consultations will generally be dealt with at the weekly PCC/Chief Constable meetings.  A record of any action or decisions upon which the PCC was consulted and the views expressed by the PCC and the final action or decision taken will be recorded in the weekly meeting minutes.</w:t>
      </w:r>
    </w:p>
    <w:p w14:paraId="43052DF2" w14:textId="77777777" w:rsidR="001B3EDF" w:rsidRDefault="001B3EDF" w:rsidP="001B3EDF">
      <w:pPr>
        <w:spacing w:after="0"/>
        <w:jc w:val="both"/>
      </w:pPr>
    </w:p>
    <w:p w14:paraId="4AE3586C" w14:textId="77777777" w:rsidR="001B3EDF" w:rsidRPr="00E11128" w:rsidRDefault="001B3EDF" w:rsidP="001B3EDF">
      <w:pPr>
        <w:spacing w:after="0"/>
        <w:jc w:val="both"/>
        <w:rPr>
          <w:b/>
          <w:sz w:val="28"/>
          <w:szCs w:val="28"/>
        </w:rPr>
      </w:pPr>
      <w:r>
        <w:rPr>
          <w:b/>
          <w:sz w:val="28"/>
          <w:szCs w:val="28"/>
        </w:rPr>
        <w:t>7</w:t>
      </w:r>
      <w:r>
        <w:rPr>
          <w:b/>
          <w:sz w:val="28"/>
          <w:szCs w:val="28"/>
        </w:rPr>
        <w:tab/>
      </w:r>
      <w:r w:rsidRPr="00E11128">
        <w:rPr>
          <w:b/>
          <w:sz w:val="28"/>
          <w:szCs w:val="28"/>
        </w:rPr>
        <w:t>Engagement of the Police and Crime Panel</w:t>
      </w:r>
    </w:p>
    <w:p w14:paraId="0EC40892" w14:textId="77777777" w:rsidR="001B3EDF" w:rsidRDefault="001B3EDF" w:rsidP="001B3EDF">
      <w:pPr>
        <w:spacing w:after="0"/>
        <w:jc w:val="both"/>
      </w:pPr>
    </w:p>
    <w:p w14:paraId="11897AA5" w14:textId="77777777" w:rsidR="001B3EDF" w:rsidRDefault="001B3EDF" w:rsidP="001B3EDF">
      <w:pPr>
        <w:spacing w:after="0"/>
        <w:jc w:val="both"/>
      </w:pPr>
      <w:r>
        <w:t>There are also a number of issues where the PCC must refer matters to the Police and Crime Panel before a final decision takes effect. These issues are:</w:t>
      </w:r>
    </w:p>
    <w:p w14:paraId="6232C8DB" w14:textId="77777777" w:rsidR="001B3EDF" w:rsidRDefault="001B3EDF" w:rsidP="001B3EDF">
      <w:pPr>
        <w:spacing w:after="0"/>
        <w:jc w:val="both"/>
      </w:pPr>
    </w:p>
    <w:p w14:paraId="51506D3F" w14:textId="77777777" w:rsidR="001B3EDF" w:rsidRPr="0036353F" w:rsidRDefault="001B3EDF" w:rsidP="001B3EDF">
      <w:pPr>
        <w:spacing w:after="0"/>
        <w:jc w:val="both"/>
        <w:rPr>
          <w:i/>
        </w:rPr>
      </w:pPr>
      <w:r>
        <w:rPr>
          <w:i/>
        </w:rPr>
        <w:t>a) Precept setting</w:t>
      </w:r>
    </w:p>
    <w:p w14:paraId="157BF51D" w14:textId="77777777" w:rsidR="001B3EDF" w:rsidRDefault="001B3EDF" w:rsidP="001B3EDF">
      <w:pPr>
        <w:spacing w:after="0"/>
        <w:jc w:val="both"/>
      </w:pPr>
    </w:p>
    <w:p w14:paraId="4F770A3D" w14:textId="77777777" w:rsidR="001B3EDF" w:rsidRDefault="001B3EDF" w:rsidP="001B3EDF">
      <w:pPr>
        <w:spacing w:after="0"/>
        <w:jc w:val="both"/>
      </w:pPr>
      <w:r w:rsidRPr="005615AE">
        <w:t>The Police and Crime Panels (Precepts and Chief Constable Appointments) Regulations 2012</w:t>
      </w:r>
      <w:r>
        <w:t xml:space="preserve"> governs the process and timescale for the setting of the precept. The Police and Crime Panel have the power to veto the precept proposal on the first occasion.</w:t>
      </w:r>
    </w:p>
    <w:p w14:paraId="24D0A28C" w14:textId="77777777" w:rsidR="001B3EDF" w:rsidRDefault="001B3EDF" w:rsidP="001B3EDF">
      <w:pPr>
        <w:spacing w:after="0"/>
        <w:jc w:val="both"/>
      </w:pPr>
    </w:p>
    <w:p w14:paraId="72F8AD46" w14:textId="77777777" w:rsidR="001B3EDF" w:rsidRDefault="001B3EDF" w:rsidP="001B3EDF">
      <w:pPr>
        <w:spacing w:after="0"/>
        <w:jc w:val="both"/>
      </w:pPr>
    </w:p>
    <w:p w14:paraId="491C3D28" w14:textId="77777777" w:rsidR="001B3EDF" w:rsidRPr="0036353F" w:rsidRDefault="001B3EDF" w:rsidP="001B3EDF">
      <w:pPr>
        <w:spacing w:after="0"/>
        <w:jc w:val="both"/>
        <w:rPr>
          <w:i/>
        </w:rPr>
      </w:pPr>
      <w:r w:rsidRPr="0036353F">
        <w:rPr>
          <w:i/>
        </w:rPr>
        <w:t>b) Chief Constable appointment</w:t>
      </w:r>
    </w:p>
    <w:p w14:paraId="5B630291" w14:textId="77777777" w:rsidR="001B3EDF" w:rsidRDefault="001B3EDF" w:rsidP="001B3EDF">
      <w:pPr>
        <w:spacing w:after="0"/>
        <w:jc w:val="both"/>
      </w:pPr>
    </w:p>
    <w:p w14:paraId="0066691E" w14:textId="77777777" w:rsidR="001B3EDF" w:rsidRDefault="001B3EDF" w:rsidP="001B3EDF">
      <w:pPr>
        <w:spacing w:after="0"/>
        <w:jc w:val="both"/>
      </w:pPr>
      <w:r w:rsidRPr="005615AE">
        <w:t>The Police and Crime Panels (Precepts and Chief Constable Appointments) Regulations 2012</w:t>
      </w:r>
      <w:r>
        <w:t xml:space="preserve"> details the process under which for the Police and Crime Panel may veto a Police and Crime Commissioner’s proposed appointment of Chief Constable.</w:t>
      </w:r>
    </w:p>
    <w:p w14:paraId="73DB61B6" w14:textId="77777777" w:rsidR="001B3EDF" w:rsidRDefault="001B3EDF" w:rsidP="001B3EDF">
      <w:pPr>
        <w:spacing w:after="0"/>
        <w:jc w:val="both"/>
      </w:pPr>
    </w:p>
    <w:p w14:paraId="42407DB4" w14:textId="77777777" w:rsidR="001B3EDF" w:rsidRPr="0036353F" w:rsidRDefault="001B3EDF" w:rsidP="001B3EDF">
      <w:pPr>
        <w:spacing w:after="0"/>
        <w:jc w:val="both"/>
        <w:rPr>
          <w:i/>
        </w:rPr>
      </w:pPr>
      <w:r w:rsidRPr="0036353F">
        <w:rPr>
          <w:i/>
        </w:rPr>
        <w:t>c) Confirmation of senior appointments</w:t>
      </w:r>
    </w:p>
    <w:p w14:paraId="3F232A8C" w14:textId="77777777" w:rsidR="001B3EDF" w:rsidRDefault="001B3EDF" w:rsidP="001B3EDF">
      <w:pPr>
        <w:spacing w:after="0"/>
        <w:jc w:val="both"/>
      </w:pPr>
    </w:p>
    <w:p w14:paraId="432413A0" w14:textId="77777777" w:rsidR="001B3EDF" w:rsidRDefault="001B3EDF" w:rsidP="001B3EDF">
      <w:pPr>
        <w:spacing w:after="0"/>
        <w:jc w:val="both"/>
      </w:pPr>
      <w:r>
        <w:t>The PCC must appoint a Chief Executive and a Chief Finance Officer. They may also appointment a Deputy Police and Crime Commissioner. These appointments must be shared with the Police and Crime Panel for confirmation.</w:t>
      </w:r>
    </w:p>
    <w:p w14:paraId="5A11C800" w14:textId="77777777" w:rsidR="001B3EDF" w:rsidRDefault="001B3EDF" w:rsidP="001B3EDF">
      <w:pPr>
        <w:spacing w:after="0"/>
        <w:jc w:val="both"/>
      </w:pPr>
    </w:p>
    <w:p w14:paraId="773290E6" w14:textId="77777777" w:rsidR="001B3EDF" w:rsidRPr="0036353F" w:rsidRDefault="001B3EDF" w:rsidP="001B3EDF">
      <w:pPr>
        <w:spacing w:after="0"/>
        <w:jc w:val="both"/>
        <w:rPr>
          <w:i/>
        </w:rPr>
      </w:pPr>
      <w:r w:rsidRPr="0036353F">
        <w:rPr>
          <w:i/>
        </w:rPr>
        <w:t>d) Police and Crime Plan</w:t>
      </w:r>
    </w:p>
    <w:p w14:paraId="69EDACC8" w14:textId="77777777" w:rsidR="001B3EDF" w:rsidRDefault="001B3EDF" w:rsidP="001B3EDF">
      <w:pPr>
        <w:spacing w:after="0"/>
        <w:jc w:val="both"/>
      </w:pPr>
    </w:p>
    <w:p w14:paraId="5E0A5DC7" w14:textId="77777777" w:rsidR="001B3EDF" w:rsidRDefault="001B3EDF" w:rsidP="001B3EDF">
      <w:pPr>
        <w:spacing w:after="0"/>
        <w:jc w:val="both"/>
      </w:pPr>
      <w:r>
        <w:t>Before issuing the Police and Crime Plan the PCC must share a draft of the Plan with the Police and Crime Panel and have regard to any report or recommendations the Panel may make.</w:t>
      </w:r>
    </w:p>
    <w:p w14:paraId="4EBC956D" w14:textId="77777777" w:rsidR="001B3EDF" w:rsidRDefault="001B3EDF" w:rsidP="001B3EDF">
      <w:pPr>
        <w:spacing w:after="0"/>
        <w:jc w:val="both"/>
      </w:pPr>
    </w:p>
    <w:p w14:paraId="2F152720" w14:textId="77777777" w:rsidR="00825F8B" w:rsidRDefault="00825F8B" w:rsidP="001B3EDF">
      <w:pPr>
        <w:spacing w:after="0"/>
        <w:jc w:val="both"/>
        <w:rPr>
          <w:b/>
          <w:sz w:val="28"/>
          <w:szCs w:val="28"/>
        </w:rPr>
      </w:pPr>
    </w:p>
    <w:p w14:paraId="598AB989" w14:textId="77777777" w:rsidR="00825F8B" w:rsidRDefault="00825F8B" w:rsidP="001B3EDF">
      <w:pPr>
        <w:spacing w:after="0"/>
        <w:jc w:val="both"/>
        <w:rPr>
          <w:b/>
          <w:sz w:val="28"/>
          <w:szCs w:val="28"/>
        </w:rPr>
      </w:pPr>
    </w:p>
    <w:p w14:paraId="39FC9E7A" w14:textId="77777777" w:rsidR="00825F8B" w:rsidRDefault="00825F8B" w:rsidP="001B3EDF">
      <w:pPr>
        <w:spacing w:after="0"/>
        <w:jc w:val="both"/>
        <w:rPr>
          <w:b/>
          <w:sz w:val="28"/>
          <w:szCs w:val="28"/>
        </w:rPr>
      </w:pPr>
    </w:p>
    <w:p w14:paraId="33BD5349" w14:textId="77777777" w:rsidR="001B3EDF" w:rsidRPr="0036353F" w:rsidRDefault="001B3EDF" w:rsidP="001B3EDF">
      <w:pPr>
        <w:spacing w:after="0"/>
        <w:jc w:val="both"/>
        <w:rPr>
          <w:b/>
          <w:sz w:val="28"/>
          <w:szCs w:val="28"/>
        </w:rPr>
      </w:pPr>
      <w:r>
        <w:rPr>
          <w:b/>
          <w:sz w:val="28"/>
          <w:szCs w:val="28"/>
        </w:rPr>
        <w:lastRenderedPageBreak/>
        <w:t>8</w:t>
      </w:r>
      <w:r>
        <w:rPr>
          <w:b/>
          <w:sz w:val="28"/>
          <w:szCs w:val="28"/>
        </w:rPr>
        <w:tab/>
      </w:r>
      <w:r w:rsidRPr="0036353F">
        <w:rPr>
          <w:b/>
          <w:sz w:val="28"/>
          <w:szCs w:val="28"/>
        </w:rPr>
        <w:t xml:space="preserve">Decision </w:t>
      </w:r>
      <w:r>
        <w:rPr>
          <w:b/>
          <w:sz w:val="28"/>
          <w:szCs w:val="28"/>
        </w:rPr>
        <w:t>records</w:t>
      </w:r>
    </w:p>
    <w:p w14:paraId="0130E573" w14:textId="77777777" w:rsidR="001B3EDF" w:rsidRDefault="001B3EDF" w:rsidP="001B3EDF">
      <w:pPr>
        <w:spacing w:after="0"/>
        <w:jc w:val="both"/>
      </w:pPr>
    </w:p>
    <w:p w14:paraId="4BDF1CA8" w14:textId="5A45C87C" w:rsidR="001B3EDF" w:rsidRDefault="001B3EDF" w:rsidP="001B3EDF">
      <w:pPr>
        <w:spacing w:after="0"/>
        <w:jc w:val="both"/>
      </w:pPr>
      <w:r>
        <w:t>P</w:t>
      </w:r>
      <w:r w:rsidR="001F1A6B">
        <w:t>CC decisions are recorded in five</w:t>
      </w:r>
      <w:r>
        <w:t xml:space="preserve"> forms as outlined below: </w:t>
      </w:r>
    </w:p>
    <w:p w14:paraId="495B357E" w14:textId="77777777" w:rsidR="001B3EDF" w:rsidRDefault="001B3EDF" w:rsidP="001B3EDF">
      <w:pPr>
        <w:spacing w:after="0"/>
        <w:jc w:val="both"/>
      </w:pPr>
    </w:p>
    <w:p w14:paraId="7F5B3324" w14:textId="32BE7640" w:rsidR="001B3EDF" w:rsidRPr="001954E4" w:rsidRDefault="00825F8B" w:rsidP="001B3EDF">
      <w:pPr>
        <w:spacing w:after="0"/>
        <w:jc w:val="both"/>
        <w:rPr>
          <w:i/>
        </w:rPr>
      </w:pPr>
      <w:r>
        <w:rPr>
          <w:i/>
        </w:rPr>
        <w:t>a</w:t>
      </w:r>
      <w:r w:rsidR="001B3EDF" w:rsidRPr="001954E4">
        <w:rPr>
          <w:i/>
        </w:rPr>
        <w:t xml:space="preserve">) Warwickshire PCC Decisions </w:t>
      </w:r>
    </w:p>
    <w:p w14:paraId="68C5E5C2" w14:textId="77777777" w:rsidR="001B3EDF" w:rsidRDefault="001B3EDF" w:rsidP="001B3EDF">
      <w:pPr>
        <w:spacing w:after="0"/>
        <w:jc w:val="both"/>
      </w:pPr>
    </w:p>
    <w:p w14:paraId="0B0C4315" w14:textId="43D44BFA" w:rsidR="001B3EDF" w:rsidRDefault="00ED7E33" w:rsidP="001B3EDF">
      <w:pPr>
        <w:spacing w:after="0"/>
        <w:jc w:val="both"/>
      </w:pPr>
      <w:r>
        <w:t>All requests to the PC</w:t>
      </w:r>
      <w:r w:rsidR="001B3EDF">
        <w:t xml:space="preserve">C for decision should be made using the decision template form attached as </w:t>
      </w:r>
      <w:r w:rsidR="001B3EDF" w:rsidRPr="003B56DC">
        <w:rPr>
          <w:b/>
        </w:rPr>
        <w:t>Appendix A</w:t>
      </w:r>
      <w:r w:rsidR="001B3EDF">
        <w:t xml:space="preserve"> so as to provide a record and justification for the decision. The template form requires e relevant considerations </w:t>
      </w:r>
      <w:r w:rsidR="00825F8B">
        <w:t xml:space="preserve">to be </w:t>
      </w:r>
      <w:r w:rsidR="001B3EDF">
        <w:t>taken into account including matters relating to legality, probity, finance and equality impacts</w:t>
      </w:r>
      <w:r w:rsidR="00825F8B">
        <w:t>,</w:t>
      </w:r>
      <w:r w:rsidR="001B3EDF">
        <w:t xml:space="preserve"> </w:t>
      </w:r>
      <w:r w:rsidR="00825F8B">
        <w:t xml:space="preserve">all of which are </w:t>
      </w:r>
      <w:r w:rsidR="001B3EDF">
        <w:t xml:space="preserve">to be recorded. For complex decisions it is anticipated that the </w:t>
      </w:r>
      <w:r w:rsidR="00FB45B3">
        <w:t>template form</w:t>
      </w:r>
      <w:r w:rsidR="001B3EDF">
        <w:t xml:space="preserve"> will be supported with additional information at an appropriate level of detail for the </w:t>
      </w:r>
      <w:r w:rsidR="00FB45B3">
        <w:t>PCC to</w:t>
      </w:r>
      <w:r w:rsidR="001B3EDF">
        <w:t xml:space="preserve"> make the decision.</w:t>
      </w:r>
    </w:p>
    <w:p w14:paraId="70763CEA" w14:textId="77777777" w:rsidR="001B3EDF" w:rsidRDefault="001B3EDF" w:rsidP="001B3EDF">
      <w:pPr>
        <w:spacing w:after="0"/>
        <w:jc w:val="both"/>
      </w:pPr>
    </w:p>
    <w:p w14:paraId="030BD75F" w14:textId="77777777" w:rsidR="001B3EDF" w:rsidRDefault="001B3EDF" w:rsidP="001B3EDF">
      <w:pPr>
        <w:spacing w:after="0"/>
        <w:jc w:val="both"/>
      </w:pPr>
      <w:r>
        <w:t>No decision will be made unless accompanied by the appropriate decision template form.</w:t>
      </w:r>
    </w:p>
    <w:p w14:paraId="7851FC73" w14:textId="77777777" w:rsidR="001B3EDF" w:rsidRDefault="001B3EDF" w:rsidP="001B3EDF">
      <w:pPr>
        <w:spacing w:after="0"/>
        <w:jc w:val="both"/>
      </w:pPr>
    </w:p>
    <w:p w14:paraId="7C4EB6AC" w14:textId="42739EA5" w:rsidR="001B3EDF" w:rsidRPr="00374256" w:rsidRDefault="00825F8B" w:rsidP="001B3EDF">
      <w:pPr>
        <w:spacing w:after="0"/>
        <w:jc w:val="both"/>
        <w:rPr>
          <w:i/>
        </w:rPr>
      </w:pPr>
      <w:r>
        <w:rPr>
          <w:i/>
        </w:rPr>
        <w:t>b</w:t>
      </w:r>
      <w:r w:rsidR="001B3EDF" w:rsidRPr="00374256">
        <w:rPr>
          <w:i/>
        </w:rPr>
        <w:t>) Police and Crime Commissioner / Chief Constable weekly meetings</w:t>
      </w:r>
    </w:p>
    <w:p w14:paraId="72C2CECE" w14:textId="77777777" w:rsidR="001B3EDF" w:rsidRDefault="001B3EDF" w:rsidP="001B3EDF">
      <w:pPr>
        <w:spacing w:after="0"/>
        <w:jc w:val="both"/>
      </w:pPr>
    </w:p>
    <w:p w14:paraId="3684AB73" w14:textId="3C63662A" w:rsidR="001B3EDF" w:rsidRDefault="001B3EDF" w:rsidP="001B3EDF">
      <w:pPr>
        <w:spacing w:after="0"/>
        <w:jc w:val="both"/>
      </w:pPr>
      <w:r>
        <w:t xml:space="preserve">The PCC holds regular meetings with the Chief Constable in which a wide range of subjects are discussed.  A summary of the discussions held in open session is published on the PCC’s website </w:t>
      </w:r>
      <w:hyperlink r:id="rId13" w:history="1">
        <w:r w:rsidR="00F46031" w:rsidRPr="00EE5AFC">
          <w:rPr>
            <w:rStyle w:val="Hyperlink"/>
            <w:rFonts w:cstheme="minorBidi"/>
          </w:rPr>
          <w:t>www.warwickshire-pcc.gov.uk/your-pcc/holding-the-police-to-account/</w:t>
        </w:r>
      </w:hyperlink>
      <w:r w:rsidR="0051309F">
        <w:t xml:space="preserve"> </w:t>
      </w:r>
      <w:r>
        <w:t>including any decisions taken and details of any matters that have been subject to consultation.</w:t>
      </w:r>
    </w:p>
    <w:p w14:paraId="1AB222F0" w14:textId="77777777" w:rsidR="00ED7E33" w:rsidRPr="00B94C0C" w:rsidRDefault="00ED7E33" w:rsidP="00B94C0C">
      <w:pPr>
        <w:spacing w:after="0"/>
        <w:jc w:val="both"/>
      </w:pPr>
    </w:p>
    <w:p w14:paraId="0B90E4BC" w14:textId="6899FE33" w:rsidR="00ED7E33" w:rsidRDefault="00825F8B" w:rsidP="001B3EDF">
      <w:pPr>
        <w:spacing w:after="0"/>
        <w:jc w:val="both"/>
        <w:rPr>
          <w:i/>
        </w:rPr>
      </w:pPr>
      <w:r>
        <w:t>c</w:t>
      </w:r>
      <w:r w:rsidR="00ED7E33">
        <w:t xml:space="preserve">)  </w:t>
      </w:r>
      <w:r w:rsidR="00ED7E33">
        <w:rPr>
          <w:i/>
        </w:rPr>
        <w:t>Police and Crime Commissioner Monthly Meetings</w:t>
      </w:r>
      <w:r>
        <w:rPr>
          <w:i/>
        </w:rPr>
        <w:t xml:space="preserve"> with the Chief Constable – Performance Accountability Meeting (PAM) &amp; Monthly Governance Meeting.  </w:t>
      </w:r>
      <w:r w:rsidR="00ED7E33">
        <w:rPr>
          <w:i/>
        </w:rPr>
        <w:t xml:space="preserve"> </w:t>
      </w:r>
    </w:p>
    <w:p w14:paraId="50A3C2D5" w14:textId="77777777" w:rsidR="00ED7E33" w:rsidRDefault="00ED7E33" w:rsidP="001B3EDF">
      <w:pPr>
        <w:spacing w:after="0"/>
        <w:jc w:val="both"/>
        <w:rPr>
          <w:i/>
        </w:rPr>
      </w:pPr>
    </w:p>
    <w:p w14:paraId="35764A9C" w14:textId="2EC1D879" w:rsidR="001B3EDF" w:rsidRDefault="00ED7E33" w:rsidP="001B3EDF">
      <w:pPr>
        <w:spacing w:after="0"/>
        <w:jc w:val="both"/>
      </w:pPr>
      <w:r>
        <w:t xml:space="preserve">The terms of </w:t>
      </w:r>
      <w:r w:rsidR="00FB45B3">
        <w:t>reference</w:t>
      </w:r>
      <w:r>
        <w:t xml:space="preserve"> for </w:t>
      </w:r>
      <w:r w:rsidR="00825F8B">
        <w:t>both</w:t>
      </w:r>
      <w:r>
        <w:t xml:space="preserve"> meetings are attached at </w:t>
      </w:r>
      <w:r w:rsidRPr="003B56DC">
        <w:rPr>
          <w:b/>
        </w:rPr>
        <w:t xml:space="preserve">Appendix </w:t>
      </w:r>
      <w:r w:rsidR="00825F8B" w:rsidRPr="003B56DC">
        <w:rPr>
          <w:b/>
        </w:rPr>
        <w:t>B</w:t>
      </w:r>
      <w:r>
        <w:t xml:space="preserve">  Key decisions made by the PCC in </w:t>
      </w:r>
      <w:r w:rsidR="00825F8B">
        <w:t>both of these</w:t>
      </w:r>
      <w:r>
        <w:t>s meeting</w:t>
      </w:r>
      <w:r w:rsidR="00825F8B">
        <w:t>s</w:t>
      </w:r>
      <w:r>
        <w:t xml:space="preserve"> will be captured </w:t>
      </w:r>
      <w:r w:rsidR="00FB45B3">
        <w:t>in the Minutes.  The Minutes and</w:t>
      </w:r>
      <w:r>
        <w:t xml:space="preserve"> any supporting documents/business case will be published on the OPCC website, unless any part of the documentation is exempt from disclosure under the </w:t>
      </w:r>
      <w:r w:rsidR="00FB45B3">
        <w:t>Freedom</w:t>
      </w:r>
      <w:r>
        <w:t xml:space="preserve"> of Information Act 2000 or any other </w:t>
      </w:r>
      <w:r w:rsidR="00FB45B3">
        <w:t>enactment</w:t>
      </w:r>
      <w:r>
        <w:t xml:space="preserve">.  </w:t>
      </w:r>
    </w:p>
    <w:p w14:paraId="1619055C" w14:textId="77777777" w:rsidR="001B3EDF" w:rsidRDefault="001B3EDF" w:rsidP="001B3EDF">
      <w:pPr>
        <w:spacing w:after="0"/>
        <w:jc w:val="both"/>
      </w:pPr>
    </w:p>
    <w:p w14:paraId="58EF6739" w14:textId="77777777" w:rsidR="001B3EDF" w:rsidRDefault="001B3EDF" w:rsidP="001B3EDF">
      <w:pPr>
        <w:spacing w:after="0"/>
        <w:jc w:val="both"/>
        <w:rPr>
          <w:b/>
          <w:sz w:val="28"/>
          <w:szCs w:val="28"/>
        </w:rPr>
      </w:pPr>
      <w:r>
        <w:rPr>
          <w:b/>
          <w:sz w:val="28"/>
          <w:szCs w:val="28"/>
        </w:rPr>
        <w:t>9</w:t>
      </w:r>
      <w:r>
        <w:rPr>
          <w:b/>
          <w:sz w:val="28"/>
          <w:szCs w:val="28"/>
        </w:rPr>
        <w:tab/>
      </w:r>
      <w:r w:rsidRPr="008A1E37">
        <w:rPr>
          <w:b/>
          <w:sz w:val="28"/>
          <w:szCs w:val="28"/>
        </w:rPr>
        <w:t>Publication of decisions</w:t>
      </w:r>
    </w:p>
    <w:p w14:paraId="7357D683" w14:textId="77777777" w:rsidR="001B3EDF" w:rsidRDefault="001B3EDF" w:rsidP="001B3EDF">
      <w:pPr>
        <w:spacing w:after="0"/>
        <w:jc w:val="both"/>
      </w:pPr>
    </w:p>
    <w:p w14:paraId="0BCD5382" w14:textId="5D9A55C0" w:rsidR="001B3EDF" w:rsidRDefault="001B3EDF" w:rsidP="00B94C0C">
      <w:pPr>
        <w:spacing w:after="0"/>
      </w:pPr>
      <w:r>
        <w:t>With the exception of exempt decisions, under the Freedom of Information Act 2000 or other enactment, a copy of all the decision m</w:t>
      </w:r>
      <w:r w:rsidR="0086118F">
        <w:t>aking as outlined in (a) – (</w:t>
      </w:r>
      <w:r w:rsidR="00E20709">
        <w:t>c</w:t>
      </w:r>
      <w:r w:rsidR="0086118F">
        <w:t>)</w:t>
      </w:r>
      <w:r>
        <w:t xml:space="preserve"> above, will be published on the OPCC’s website at </w:t>
      </w:r>
      <w:hyperlink r:id="rId14" w:history="1">
        <w:r w:rsidR="00F46031" w:rsidRPr="00EE5AFC">
          <w:rPr>
            <w:rStyle w:val="Hyperlink"/>
            <w:rFonts w:cstheme="minorBidi"/>
          </w:rPr>
          <w:t>www.warwickshire-pcc.gov.uk/your-pcc/decision-making/</w:t>
        </w:r>
      </w:hyperlink>
    </w:p>
    <w:p w14:paraId="5F0955B3" w14:textId="77777777" w:rsidR="001B3EDF" w:rsidRDefault="001B3EDF" w:rsidP="001B3EDF">
      <w:pPr>
        <w:spacing w:after="0"/>
        <w:jc w:val="both"/>
      </w:pPr>
    </w:p>
    <w:p w14:paraId="0429AC11" w14:textId="77777777" w:rsidR="001B3EDF" w:rsidRDefault="001B3EDF" w:rsidP="001B3EDF">
      <w:pPr>
        <w:spacing w:after="0"/>
        <w:jc w:val="both"/>
      </w:pPr>
      <w:r>
        <w:t>This will enable members of the public and the Police and Crime Panel members to have access to all key decisions made by the PCC.</w:t>
      </w:r>
    </w:p>
    <w:p w14:paraId="4DBABB34" w14:textId="77777777" w:rsidR="001B3EDF" w:rsidRDefault="001B3EDF" w:rsidP="001B3EDF">
      <w:pPr>
        <w:jc w:val="both"/>
      </w:pPr>
      <w:r>
        <w:br w:type="page"/>
      </w:r>
    </w:p>
    <w:p w14:paraId="0FAC881E" w14:textId="77777777" w:rsidR="001B3EDF" w:rsidRPr="006A57C8" w:rsidRDefault="001B3EDF" w:rsidP="001B3EDF">
      <w:pPr>
        <w:spacing w:after="0"/>
        <w:jc w:val="right"/>
        <w:rPr>
          <w:b/>
          <w:sz w:val="28"/>
          <w:szCs w:val="28"/>
        </w:rPr>
      </w:pPr>
      <w:r>
        <w:rPr>
          <w:b/>
          <w:sz w:val="28"/>
          <w:szCs w:val="28"/>
        </w:rPr>
        <w:lastRenderedPageBreak/>
        <w:t>Appendix A</w:t>
      </w:r>
    </w:p>
    <w:p w14:paraId="68EEB2A6" w14:textId="77777777" w:rsidR="001B3EDF" w:rsidRDefault="001B3EDF" w:rsidP="001B3EDF">
      <w:pPr>
        <w:jc w:val="center"/>
      </w:pPr>
      <w:r>
        <w:rPr>
          <w:noProof/>
          <w:lang w:eastAsia="en-GB"/>
        </w:rPr>
        <w:drawing>
          <wp:inline distT="0" distB="0" distL="0" distR="0" wp14:anchorId="78CC1347" wp14:editId="480C8035">
            <wp:extent cx="2277374" cy="9225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C-New-Logo-May2017-Small.png"/>
                    <pic:cNvPicPr/>
                  </pic:nvPicPr>
                  <pic:blipFill>
                    <a:blip r:embed="rId11">
                      <a:extLst>
                        <a:ext uri="{28A0092B-C50C-407E-A947-70E740481C1C}">
                          <a14:useLocalDpi xmlns:a14="http://schemas.microsoft.com/office/drawing/2010/main" val="0"/>
                        </a:ext>
                      </a:extLst>
                    </a:blip>
                    <a:stretch>
                      <a:fillRect/>
                    </a:stretch>
                  </pic:blipFill>
                  <pic:spPr>
                    <a:xfrm>
                      <a:off x="0" y="0"/>
                      <a:ext cx="2292063" cy="928537"/>
                    </a:xfrm>
                    <a:prstGeom prst="rect">
                      <a:avLst/>
                    </a:prstGeom>
                  </pic:spPr>
                </pic:pic>
              </a:graphicData>
            </a:graphic>
          </wp:inline>
        </w:drawing>
      </w:r>
    </w:p>
    <w:p w14:paraId="28487CA6" w14:textId="77777777" w:rsidR="001B3EDF" w:rsidRPr="00DB4A0C" w:rsidRDefault="001B3EDF" w:rsidP="001B3EDF">
      <w:pPr>
        <w:jc w:val="center"/>
        <w:rPr>
          <w:b/>
          <w:sz w:val="32"/>
          <w:szCs w:val="32"/>
        </w:rPr>
      </w:pPr>
      <w:r w:rsidRPr="00DB4A0C">
        <w:rPr>
          <w:b/>
          <w:sz w:val="32"/>
          <w:szCs w:val="32"/>
        </w:rPr>
        <w:t xml:space="preserve">Police and Crime Commissioner </w:t>
      </w:r>
      <w:r>
        <w:rPr>
          <w:b/>
          <w:sz w:val="32"/>
          <w:szCs w:val="32"/>
        </w:rPr>
        <w:t xml:space="preserve">- </w:t>
      </w:r>
      <w:r w:rsidRPr="00DB4A0C">
        <w:rPr>
          <w:b/>
          <w:sz w:val="32"/>
          <w:szCs w:val="32"/>
        </w:rPr>
        <w:t>Decision Application</w:t>
      </w:r>
    </w:p>
    <w:p w14:paraId="7FE2A6D2" w14:textId="77777777" w:rsidR="001B3EDF" w:rsidRPr="00686BC0" w:rsidRDefault="001B3EDF" w:rsidP="001B3EDF">
      <w:pPr>
        <w:jc w:val="center"/>
        <w:rPr>
          <w:b/>
          <w:sz w:val="32"/>
          <w:szCs w:val="32"/>
        </w:rPr>
      </w:pPr>
      <w:r w:rsidRPr="00686BC0">
        <w:rPr>
          <w:b/>
          <w:sz w:val="32"/>
          <w:szCs w:val="32"/>
        </w:rPr>
        <w:t>Title of Application</w:t>
      </w:r>
    </w:p>
    <w:tbl>
      <w:tblPr>
        <w:tblStyle w:val="TableGrid"/>
        <w:tblW w:w="0" w:type="auto"/>
        <w:tblLook w:val="04A0" w:firstRow="1" w:lastRow="0" w:firstColumn="1" w:lastColumn="0" w:noHBand="0" w:noVBand="1"/>
      </w:tblPr>
      <w:tblGrid>
        <w:gridCol w:w="2280"/>
        <w:gridCol w:w="1844"/>
        <w:gridCol w:w="2661"/>
        <w:gridCol w:w="2231"/>
      </w:tblGrid>
      <w:tr w:rsidR="001B3EDF" w14:paraId="5F4DB14B" w14:textId="77777777" w:rsidTr="00B94C0C">
        <w:tc>
          <w:tcPr>
            <w:tcW w:w="2310" w:type="dxa"/>
          </w:tcPr>
          <w:p w14:paraId="3526C12C" w14:textId="77777777" w:rsidR="001B3EDF" w:rsidRPr="004E1737" w:rsidRDefault="001B3EDF" w:rsidP="00220EEF">
            <w:pPr>
              <w:jc w:val="center"/>
              <w:rPr>
                <w:b/>
              </w:rPr>
            </w:pPr>
            <w:r w:rsidRPr="004E1737">
              <w:rPr>
                <w:b/>
              </w:rPr>
              <w:t>Application Date:</w:t>
            </w:r>
          </w:p>
          <w:p w14:paraId="2ACD8AA1" w14:textId="77777777" w:rsidR="001B3EDF" w:rsidRDefault="001B3EDF" w:rsidP="00220EEF">
            <w:pPr>
              <w:jc w:val="center"/>
            </w:pPr>
          </w:p>
        </w:tc>
        <w:tc>
          <w:tcPr>
            <w:tcW w:w="1909" w:type="dxa"/>
          </w:tcPr>
          <w:p w14:paraId="2A4C0D91" w14:textId="77777777" w:rsidR="001B3EDF" w:rsidRDefault="001B3EDF" w:rsidP="00220EEF">
            <w:pPr>
              <w:jc w:val="center"/>
            </w:pPr>
          </w:p>
        </w:tc>
        <w:tc>
          <w:tcPr>
            <w:tcW w:w="2712" w:type="dxa"/>
          </w:tcPr>
          <w:p w14:paraId="42B14DAA" w14:textId="77777777" w:rsidR="001B3EDF" w:rsidRPr="004E1737" w:rsidRDefault="001B3EDF" w:rsidP="00220EEF">
            <w:pPr>
              <w:jc w:val="center"/>
              <w:rPr>
                <w:b/>
              </w:rPr>
            </w:pPr>
            <w:r w:rsidRPr="004E1737">
              <w:rPr>
                <w:b/>
              </w:rPr>
              <w:t>Name of Applicant:</w:t>
            </w:r>
          </w:p>
        </w:tc>
        <w:tc>
          <w:tcPr>
            <w:tcW w:w="2311" w:type="dxa"/>
          </w:tcPr>
          <w:p w14:paraId="26FD525E" w14:textId="77777777" w:rsidR="001B3EDF" w:rsidRDefault="001B3EDF" w:rsidP="00220EEF">
            <w:pPr>
              <w:jc w:val="center"/>
            </w:pPr>
          </w:p>
        </w:tc>
      </w:tr>
      <w:tr w:rsidR="001B3EDF" w14:paraId="14F22E06" w14:textId="77777777" w:rsidTr="00B94C0C">
        <w:tc>
          <w:tcPr>
            <w:tcW w:w="9242" w:type="dxa"/>
            <w:gridSpan w:val="4"/>
          </w:tcPr>
          <w:p w14:paraId="42977F95" w14:textId="77777777" w:rsidR="001B3EDF" w:rsidRDefault="001B3EDF" w:rsidP="00220EEF">
            <w:pPr>
              <w:rPr>
                <w:b/>
              </w:rPr>
            </w:pPr>
            <w:r>
              <w:rPr>
                <w:b/>
              </w:rPr>
              <w:t>Application Decision Reference:</w:t>
            </w:r>
          </w:p>
          <w:p w14:paraId="49066234" w14:textId="77777777" w:rsidR="001B3EDF" w:rsidRDefault="001B3EDF" w:rsidP="00220EEF">
            <w:pPr>
              <w:rPr>
                <w:b/>
              </w:rPr>
            </w:pPr>
          </w:p>
        </w:tc>
      </w:tr>
      <w:tr w:rsidR="001B3EDF" w14:paraId="3A68D331" w14:textId="77777777" w:rsidTr="00B94C0C">
        <w:tc>
          <w:tcPr>
            <w:tcW w:w="9242" w:type="dxa"/>
            <w:gridSpan w:val="4"/>
          </w:tcPr>
          <w:p w14:paraId="29DC5A72" w14:textId="77777777" w:rsidR="001B3EDF" w:rsidRPr="004E1737" w:rsidRDefault="001B3EDF" w:rsidP="00220EEF">
            <w:pPr>
              <w:rPr>
                <w:b/>
              </w:rPr>
            </w:pPr>
            <w:r>
              <w:rPr>
                <w:b/>
              </w:rPr>
              <w:t>1. Executive Summary of the application</w:t>
            </w:r>
          </w:p>
          <w:p w14:paraId="05869F16" w14:textId="77777777" w:rsidR="001B3EDF" w:rsidRDefault="001B3EDF" w:rsidP="00220EEF"/>
          <w:p w14:paraId="1891B00A" w14:textId="77777777" w:rsidR="001B3EDF" w:rsidRDefault="001B3EDF" w:rsidP="00220EEF"/>
          <w:p w14:paraId="281B2715" w14:textId="77777777" w:rsidR="001B3EDF" w:rsidRDefault="001B3EDF" w:rsidP="00220EEF"/>
          <w:p w14:paraId="34B713FE" w14:textId="77777777" w:rsidR="001B3EDF" w:rsidRDefault="001B3EDF" w:rsidP="00220EEF"/>
          <w:p w14:paraId="6E86B610" w14:textId="77777777" w:rsidR="001B3EDF" w:rsidRDefault="001B3EDF" w:rsidP="00220EEF"/>
          <w:p w14:paraId="410365E5" w14:textId="77777777" w:rsidR="001B3EDF" w:rsidRDefault="001B3EDF" w:rsidP="00220EEF"/>
        </w:tc>
      </w:tr>
      <w:tr w:rsidR="001B3EDF" w14:paraId="5F99F94F" w14:textId="77777777" w:rsidTr="00B94C0C">
        <w:tc>
          <w:tcPr>
            <w:tcW w:w="9242" w:type="dxa"/>
            <w:gridSpan w:val="4"/>
          </w:tcPr>
          <w:p w14:paraId="627ABFD6" w14:textId="77777777" w:rsidR="001B3EDF" w:rsidRPr="004E1737" w:rsidRDefault="001B3EDF" w:rsidP="00220EEF">
            <w:pPr>
              <w:rPr>
                <w:b/>
              </w:rPr>
            </w:pPr>
            <w:r>
              <w:rPr>
                <w:b/>
              </w:rPr>
              <w:t xml:space="preserve">2. </w:t>
            </w:r>
            <w:r w:rsidRPr="004E1737">
              <w:rPr>
                <w:b/>
              </w:rPr>
              <w:t xml:space="preserve">Background </w:t>
            </w:r>
            <w:r>
              <w:rPr>
                <w:b/>
              </w:rPr>
              <w:t>information</w:t>
            </w:r>
            <w:r w:rsidRPr="004E1737">
              <w:rPr>
                <w:b/>
              </w:rPr>
              <w:t>:</w:t>
            </w:r>
          </w:p>
          <w:p w14:paraId="1A1E680F" w14:textId="77777777" w:rsidR="001B3EDF" w:rsidRDefault="001B3EDF" w:rsidP="00220EEF"/>
          <w:p w14:paraId="1B8ACFD5" w14:textId="77777777" w:rsidR="001B3EDF" w:rsidRDefault="001B3EDF" w:rsidP="00220EEF"/>
          <w:p w14:paraId="3753E3B0" w14:textId="77777777" w:rsidR="001B3EDF" w:rsidRDefault="001B3EDF" w:rsidP="00220EEF"/>
          <w:p w14:paraId="2852B174" w14:textId="77777777" w:rsidR="001B3EDF" w:rsidRDefault="001B3EDF" w:rsidP="00220EEF"/>
          <w:p w14:paraId="076E72CE" w14:textId="77777777" w:rsidR="001B3EDF" w:rsidRDefault="001B3EDF" w:rsidP="00220EEF"/>
          <w:p w14:paraId="3336FD23" w14:textId="77777777" w:rsidR="001B3EDF" w:rsidRDefault="001B3EDF" w:rsidP="00220EEF">
            <w:pPr>
              <w:jc w:val="center"/>
            </w:pPr>
          </w:p>
        </w:tc>
      </w:tr>
      <w:tr w:rsidR="001B3EDF" w14:paraId="2CABF4C2" w14:textId="77777777" w:rsidTr="00B94C0C">
        <w:tc>
          <w:tcPr>
            <w:tcW w:w="9242" w:type="dxa"/>
            <w:gridSpan w:val="4"/>
          </w:tcPr>
          <w:p w14:paraId="30FE447C" w14:textId="77777777" w:rsidR="001B3EDF" w:rsidRDefault="001B3EDF" w:rsidP="00220EEF">
            <w:pPr>
              <w:rPr>
                <w:b/>
              </w:rPr>
            </w:pPr>
            <w:r>
              <w:rPr>
                <w:b/>
              </w:rPr>
              <w:t>3. Whether additional information/report is attached to support this decision application</w:t>
            </w:r>
            <w:r>
              <w:rPr>
                <w:b/>
              </w:rPr>
              <w:tab/>
            </w:r>
            <w:r>
              <w:rPr>
                <w:b/>
              </w:rPr>
              <w:tab/>
            </w:r>
            <w:r>
              <w:rPr>
                <w:b/>
              </w:rPr>
              <w:tab/>
            </w:r>
            <w:r>
              <w:rPr>
                <w:b/>
              </w:rPr>
              <w:tab/>
            </w:r>
            <w:r>
              <w:rPr>
                <w:b/>
              </w:rPr>
              <w:tab/>
            </w:r>
            <w:r>
              <w:rPr>
                <w:b/>
              </w:rPr>
              <w:tab/>
            </w:r>
            <w:r>
              <w:rPr>
                <w:b/>
              </w:rPr>
              <w:tab/>
            </w:r>
            <w:r>
              <w:rPr>
                <w:b/>
              </w:rPr>
              <w:tab/>
              <w:t>YES/NO</w:t>
            </w:r>
          </w:p>
          <w:p w14:paraId="25961B65" w14:textId="77777777" w:rsidR="001B3EDF" w:rsidRDefault="001B3EDF" w:rsidP="00220EEF">
            <w:pPr>
              <w:rPr>
                <w:b/>
              </w:rPr>
            </w:pPr>
          </w:p>
          <w:p w14:paraId="0AA5BD13" w14:textId="77777777" w:rsidR="001B3EDF" w:rsidRDefault="001B3EDF" w:rsidP="00220EEF">
            <w:pPr>
              <w:rPr>
                <w:b/>
              </w:rPr>
            </w:pPr>
            <w:r>
              <w:rPr>
                <w:b/>
              </w:rPr>
              <w:t>List of additional information/report</w:t>
            </w:r>
          </w:p>
          <w:p w14:paraId="13532B0B" w14:textId="77777777" w:rsidR="001B3EDF" w:rsidRDefault="001B3EDF" w:rsidP="00220EEF">
            <w:pPr>
              <w:rPr>
                <w:b/>
              </w:rPr>
            </w:pPr>
            <w:r>
              <w:rPr>
                <w:b/>
              </w:rPr>
              <w:t>a)</w:t>
            </w:r>
          </w:p>
          <w:p w14:paraId="78A6EDC1" w14:textId="77777777" w:rsidR="001B3EDF" w:rsidRDefault="001B3EDF" w:rsidP="00220EEF">
            <w:pPr>
              <w:rPr>
                <w:b/>
              </w:rPr>
            </w:pPr>
            <w:r>
              <w:rPr>
                <w:b/>
              </w:rPr>
              <w:t>b)</w:t>
            </w:r>
          </w:p>
          <w:p w14:paraId="36FBFE20" w14:textId="77777777" w:rsidR="001B3EDF" w:rsidRDefault="001B3EDF" w:rsidP="00220EEF">
            <w:pPr>
              <w:rPr>
                <w:b/>
              </w:rPr>
            </w:pPr>
            <w:r>
              <w:rPr>
                <w:b/>
              </w:rPr>
              <w:t>c)</w:t>
            </w:r>
          </w:p>
          <w:p w14:paraId="7C50D296" w14:textId="77777777" w:rsidR="001B3EDF" w:rsidRDefault="001B3EDF" w:rsidP="00220EEF">
            <w:pPr>
              <w:rPr>
                <w:b/>
              </w:rPr>
            </w:pPr>
          </w:p>
          <w:p w14:paraId="43ABB0D7" w14:textId="77777777" w:rsidR="001B3EDF" w:rsidRDefault="001B3EDF" w:rsidP="00220EEF">
            <w:pPr>
              <w:rPr>
                <w:b/>
              </w:rPr>
            </w:pPr>
          </w:p>
        </w:tc>
      </w:tr>
      <w:tr w:rsidR="001B3EDF" w14:paraId="3471D78E" w14:textId="77777777" w:rsidTr="00B94C0C">
        <w:tc>
          <w:tcPr>
            <w:tcW w:w="9242" w:type="dxa"/>
            <w:gridSpan w:val="4"/>
          </w:tcPr>
          <w:p w14:paraId="5BD98959" w14:textId="60B5AF9F" w:rsidR="001B3EDF" w:rsidRPr="00563234" w:rsidRDefault="001B3EDF" w:rsidP="00220EEF">
            <w:pPr>
              <w:rPr>
                <w:b/>
              </w:rPr>
            </w:pPr>
            <w:r>
              <w:rPr>
                <w:b/>
              </w:rPr>
              <w:t>4</w:t>
            </w:r>
            <w:r w:rsidRPr="00563234">
              <w:rPr>
                <w:b/>
              </w:rPr>
              <w:t xml:space="preserve">. </w:t>
            </w:r>
            <w:r>
              <w:rPr>
                <w:b/>
              </w:rPr>
              <w:t>Expected benefits (</w:t>
            </w:r>
            <w:r w:rsidR="00FB45B3">
              <w:rPr>
                <w:b/>
              </w:rPr>
              <w:t>non-financial</w:t>
            </w:r>
            <w:r>
              <w:rPr>
                <w:b/>
              </w:rPr>
              <w:t>)</w:t>
            </w:r>
          </w:p>
          <w:p w14:paraId="4376F120" w14:textId="77777777" w:rsidR="001B3EDF" w:rsidRDefault="001B3EDF" w:rsidP="00220EEF"/>
          <w:p w14:paraId="450D31A4" w14:textId="77777777" w:rsidR="001B3EDF" w:rsidRDefault="001B3EDF" w:rsidP="00220EEF"/>
          <w:p w14:paraId="26363254" w14:textId="77777777" w:rsidR="001B3EDF" w:rsidRDefault="001B3EDF" w:rsidP="00220EEF"/>
          <w:p w14:paraId="08357A84" w14:textId="77777777" w:rsidR="001B3EDF" w:rsidRDefault="001B3EDF" w:rsidP="00220EEF"/>
          <w:p w14:paraId="06A9BDB3" w14:textId="77777777" w:rsidR="001B3EDF" w:rsidRDefault="001B3EDF" w:rsidP="00220EEF"/>
          <w:p w14:paraId="38DF21CB" w14:textId="77777777" w:rsidR="001B3EDF" w:rsidRDefault="001B3EDF" w:rsidP="00220EEF"/>
          <w:p w14:paraId="63203133" w14:textId="77777777" w:rsidR="001B3EDF" w:rsidRDefault="001B3EDF" w:rsidP="00220EEF"/>
          <w:p w14:paraId="650C642A" w14:textId="77777777" w:rsidR="001B3EDF" w:rsidRDefault="001B3EDF" w:rsidP="00220EEF"/>
          <w:p w14:paraId="276B9C04" w14:textId="77777777" w:rsidR="001B3EDF" w:rsidRDefault="001B3EDF" w:rsidP="00220EEF"/>
          <w:p w14:paraId="664D097C" w14:textId="77777777" w:rsidR="001B3EDF" w:rsidRDefault="001B3EDF" w:rsidP="00220EEF">
            <w:pPr>
              <w:jc w:val="center"/>
            </w:pPr>
          </w:p>
        </w:tc>
      </w:tr>
      <w:tr w:rsidR="001B3EDF" w14:paraId="47945B11" w14:textId="77777777" w:rsidTr="00B94C0C">
        <w:tc>
          <w:tcPr>
            <w:tcW w:w="9242" w:type="dxa"/>
            <w:gridSpan w:val="4"/>
          </w:tcPr>
          <w:p w14:paraId="0E671F95" w14:textId="77777777" w:rsidR="001B3EDF" w:rsidRPr="00563234" w:rsidRDefault="001B3EDF" w:rsidP="00220EEF">
            <w:pPr>
              <w:rPr>
                <w:b/>
              </w:rPr>
            </w:pPr>
            <w:r>
              <w:rPr>
                <w:b/>
              </w:rPr>
              <w:lastRenderedPageBreak/>
              <w:t>5</w:t>
            </w:r>
            <w:r w:rsidRPr="00563234">
              <w:rPr>
                <w:b/>
              </w:rPr>
              <w:t>. Impact of not approving the application</w:t>
            </w:r>
          </w:p>
          <w:p w14:paraId="25334510" w14:textId="77777777" w:rsidR="001B3EDF" w:rsidRDefault="001B3EDF" w:rsidP="00220EEF"/>
          <w:p w14:paraId="3AED378D" w14:textId="77777777" w:rsidR="001B3EDF" w:rsidRDefault="001B3EDF" w:rsidP="00220EEF"/>
          <w:p w14:paraId="3978F3AA" w14:textId="77777777" w:rsidR="001B3EDF" w:rsidRDefault="001B3EDF" w:rsidP="00220EEF"/>
          <w:p w14:paraId="7028999F" w14:textId="77777777" w:rsidR="001B3EDF" w:rsidRDefault="001B3EDF" w:rsidP="00220EEF"/>
          <w:p w14:paraId="609A52EF" w14:textId="77777777" w:rsidR="001B3EDF" w:rsidRDefault="001B3EDF" w:rsidP="00220EEF"/>
          <w:p w14:paraId="1B6C8380" w14:textId="77777777" w:rsidR="001B3EDF" w:rsidRDefault="001B3EDF" w:rsidP="00220EEF"/>
          <w:p w14:paraId="2CFD95D3" w14:textId="77777777" w:rsidR="001B3EDF" w:rsidRDefault="001B3EDF" w:rsidP="00220EEF"/>
          <w:p w14:paraId="17698EB4" w14:textId="77777777" w:rsidR="001B3EDF" w:rsidRDefault="001B3EDF" w:rsidP="00220EEF">
            <w:pPr>
              <w:jc w:val="center"/>
            </w:pPr>
          </w:p>
        </w:tc>
      </w:tr>
      <w:tr w:rsidR="001B3EDF" w14:paraId="1ACD28DE" w14:textId="77777777" w:rsidTr="00B94C0C">
        <w:tc>
          <w:tcPr>
            <w:tcW w:w="9242" w:type="dxa"/>
            <w:gridSpan w:val="4"/>
          </w:tcPr>
          <w:p w14:paraId="2176868D" w14:textId="77777777" w:rsidR="001B3EDF" w:rsidRPr="00510625" w:rsidRDefault="001B3EDF" w:rsidP="00220EEF">
            <w:pPr>
              <w:rPr>
                <w:b/>
              </w:rPr>
            </w:pPr>
            <w:r>
              <w:rPr>
                <w:b/>
              </w:rPr>
              <w:t>6</w:t>
            </w:r>
            <w:r w:rsidRPr="00510625">
              <w:rPr>
                <w:b/>
              </w:rPr>
              <w:t>. Cost</w:t>
            </w:r>
            <w:r>
              <w:rPr>
                <w:b/>
              </w:rPr>
              <w:t>s</w:t>
            </w:r>
            <w:r w:rsidRPr="00510625">
              <w:rPr>
                <w:b/>
              </w:rPr>
              <w:t xml:space="preserve"> </w:t>
            </w:r>
          </w:p>
          <w:p w14:paraId="5B148DDD" w14:textId="77777777" w:rsidR="001B3EDF" w:rsidRDefault="001B3EDF" w:rsidP="00220EEF"/>
          <w:p w14:paraId="3E932B6E" w14:textId="77777777" w:rsidR="001B3EDF" w:rsidRPr="00510625" w:rsidRDefault="001B3EDF" w:rsidP="00220EEF">
            <w:pPr>
              <w:rPr>
                <w:b/>
              </w:rPr>
            </w:pPr>
            <w:r w:rsidRPr="00510625">
              <w:rPr>
                <w:b/>
              </w:rPr>
              <w:t>Revenue</w:t>
            </w:r>
            <w:r>
              <w:rPr>
                <w:b/>
              </w:rPr>
              <w:t>:</w:t>
            </w:r>
          </w:p>
          <w:p w14:paraId="2EF5F421" w14:textId="77777777" w:rsidR="001B3EDF" w:rsidRDefault="001B3EDF" w:rsidP="00220EEF"/>
          <w:p w14:paraId="2CA34F4F" w14:textId="77777777" w:rsidR="001B3EDF" w:rsidRDefault="001B3EDF" w:rsidP="00220EEF"/>
          <w:p w14:paraId="102661D1" w14:textId="77777777" w:rsidR="001B3EDF" w:rsidRDefault="001B3EDF" w:rsidP="00220EEF"/>
          <w:p w14:paraId="2B8359C8" w14:textId="77777777" w:rsidR="001B3EDF" w:rsidRDefault="001B3EDF" w:rsidP="00220EEF"/>
          <w:p w14:paraId="691812BD" w14:textId="77777777" w:rsidR="001B3EDF" w:rsidRPr="00510625" w:rsidRDefault="001B3EDF" w:rsidP="00220EEF">
            <w:pPr>
              <w:rPr>
                <w:b/>
              </w:rPr>
            </w:pPr>
            <w:r w:rsidRPr="00510625">
              <w:rPr>
                <w:b/>
              </w:rPr>
              <w:t>Capital:</w:t>
            </w:r>
          </w:p>
          <w:p w14:paraId="5B93C8A1" w14:textId="77777777" w:rsidR="001B3EDF" w:rsidRDefault="001B3EDF" w:rsidP="00220EEF"/>
          <w:p w14:paraId="4F84BEE0" w14:textId="77777777" w:rsidR="001B3EDF" w:rsidRDefault="001B3EDF" w:rsidP="00220EEF"/>
          <w:p w14:paraId="329B70EA" w14:textId="77777777" w:rsidR="001B3EDF" w:rsidRDefault="001B3EDF" w:rsidP="00220EEF"/>
          <w:p w14:paraId="10479D2C" w14:textId="77777777" w:rsidR="001B3EDF" w:rsidRDefault="001B3EDF" w:rsidP="00220EEF"/>
          <w:p w14:paraId="2665647F" w14:textId="77777777" w:rsidR="001B3EDF" w:rsidRDefault="001B3EDF" w:rsidP="00220EEF">
            <w:pPr>
              <w:jc w:val="center"/>
            </w:pPr>
          </w:p>
        </w:tc>
      </w:tr>
      <w:tr w:rsidR="001B3EDF" w14:paraId="17B68B60" w14:textId="77777777" w:rsidTr="00B94C0C">
        <w:tc>
          <w:tcPr>
            <w:tcW w:w="9242" w:type="dxa"/>
            <w:gridSpan w:val="4"/>
          </w:tcPr>
          <w:p w14:paraId="4BA58020" w14:textId="77777777" w:rsidR="001B3EDF" w:rsidRPr="00A04F53" w:rsidRDefault="001B3EDF" w:rsidP="00220EEF">
            <w:pPr>
              <w:rPr>
                <w:b/>
              </w:rPr>
            </w:pPr>
            <w:r>
              <w:rPr>
                <w:b/>
              </w:rPr>
              <w:t>7</w:t>
            </w:r>
            <w:r w:rsidRPr="00A04F53">
              <w:rPr>
                <w:b/>
              </w:rPr>
              <w:t>. Savings:</w:t>
            </w:r>
          </w:p>
          <w:p w14:paraId="27311D4C" w14:textId="77777777" w:rsidR="001B3EDF" w:rsidRDefault="001B3EDF" w:rsidP="00220EEF"/>
          <w:p w14:paraId="223DC600" w14:textId="77777777" w:rsidR="001B3EDF" w:rsidRDefault="001B3EDF" w:rsidP="00220EEF"/>
          <w:p w14:paraId="36E1BC3A" w14:textId="77777777" w:rsidR="001B3EDF" w:rsidRDefault="001B3EDF" w:rsidP="00220EEF"/>
          <w:p w14:paraId="0CFEC8D4" w14:textId="77777777" w:rsidR="001B3EDF" w:rsidRDefault="001B3EDF" w:rsidP="00220EEF"/>
          <w:p w14:paraId="256B12A2" w14:textId="77777777" w:rsidR="001B3EDF" w:rsidRDefault="001B3EDF" w:rsidP="00220EEF">
            <w:pPr>
              <w:jc w:val="center"/>
            </w:pPr>
          </w:p>
        </w:tc>
      </w:tr>
      <w:tr w:rsidR="001B3EDF" w14:paraId="6F2337F5" w14:textId="77777777" w:rsidTr="00B94C0C">
        <w:tc>
          <w:tcPr>
            <w:tcW w:w="9242" w:type="dxa"/>
            <w:gridSpan w:val="4"/>
          </w:tcPr>
          <w:p w14:paraId="510D9008" w14:textId="77777777" w:rsidR="001B3EDF" w:rsidRDefault="001B3EDF" w:rsidP="00220EEF">
            <w:pPr>
              <w:rPr>
                <w:b/>
              </w:rPr>
            </w:pPr>
            <w:r>
              <w:rPr>
                <w:b/>
              </w:rPr>
              <w:t>8. Equality and Diversity Implications:</w:t>
            </w:r>
          </w:p>
          <w:p w14:paraId="105B588D" w14:textId="77777777" w:rsidR="001B3EDF" w:rsidRDefault="001B3EDF" w:rsidP="00220EEF">
            <w:pPr>
              <w:rPr>
                <w:b/>
              </w:rPr>
            </w:pPr>
          </w:p>
          <w:p w14:paraId="1B60E44E" w14:textId="77777777" w:rsidR="001B3EDF" w:rsidRPr="00686BC0" w:rsidRDefault="001B3EDF" w:rsidP="00220EEF">
            <w:pPr>
              <w:rPr>
                <w:b/>
              </w:rPr>
            </w:pPr>
          </w:p>
        </w:tc>
      </w:tr>
      <w:tr w:rsidR="001B3EDF" w14:paraId="58D5FBDE" w14:textId="77777777" w:rsidTr="00B94C0C">
        <w:tc>
          <w:tcPr>
            <w:tcW w:w="9242" w:type="dxa"/>
            <w:gridSpan w:val="4"/>
          </w:tcPr>
          <w:p w14:paraId="3526B7FA" w14:textId="77777777" w:rsidR="001B3EDF" w:rsidRPr="00686BC0" w:rsidRDefault="001B3EDF" w:rsidP="00220EEF">
            <w:pPr>
              <w:rPr>
                <w:b/>
              </w:rPr>
            </w:pPr>
            <w:r>
              <w:rPr>
                <w:b/>
              </w:rPr>
              <w:t xml:space="preserve">9. </w:t>
            </w:r>
            <w:r w:rsidRPr="00686BC0">
              <w:rPr>
                <w:b/>
              </w:rPr>
              <w:t>Treasurer’s comments</w:t>
            </w:r>
          </w:p>
          <w:p w14:paraId="296CC2F8" w14:textId="77777777" w:rsidR="001B3EDF" w:rsidRDefault="001B3EDF" w:rsidP="00220EEF"/>
          <w:p w14:paraId="4C807311" w14:textId="77777777" w:rsidR="001B3EDF" w:rsidRDefault="001B3EDF" w:rsidP="00220EEF"/>
          <w:p w14:paraId="76CB3E3F" w14:textId="77777777" w:rsidR="001B3EDF" w:rsidRDefault="001B3EDF" w:rsidP="00220EEF"/>
          <w:p w14:paraId="6E1FE661" w14:textId="77777777" w:rsidR="001B3EDF" w:rsidRDefault="001B3EDF" w:rsidP="00220EEF"/>
        </w:tc>
      </w:tr>
      <w:tr w:rsidR="001B3EDF" w14:paraId="600E2C58" w14:textId="77777777" w:rsidTr="00B94C0C">
        <w:tc>
          <w:tcPr>
            <w:tcW w:w="9242" w:type="dxa"/>
            <w:gridSpan w:val="4"/>
          </w:tcPr>
          <w:p w14:paraId="242C4B64" w14:textId="77777777" w:rsidR="001B3EDF" w:rsidRPr="00686BC0" w:rsidRDefault="001B3EDF" w:rsidP="00220EEF">
            <w:pPr>
              <w:rPr>
                <w:b/>
              </w:rPr>
            </w:pPr>
            <w:r>
              <w:rPr>
                <w:b/>
              </w:rPr>
              <w:t xml:space="preserve">10. </w:t>
            </w:r>
            <w:r w:rsidRPr="00686BC0">
              <w:rPr>
                <w:b/>
              </w:rPr>
              <w:t>Legal/</w:t>
            </w:r>
            <w:r>
              <w:rPr>
                <w:b/>
              </w:rPr>
              <w:t>M</w:t>
            </w:r>
            <w:r w:rsidRPr="00686BC0">
              <w:rPr>
                <w:b/>
              </w:rPr>
              <w:t xml:space="preserve">onitoring </w:t>
            </w:r>
            <w:r>
              <w:rPr>
                <w:b/>
              </w:rPr>
              <w:t>O</w:t>
            </w:r>
            <w:r w:rsidRPr="00686BC0">
              <w:rPr>
                <w:b/>
              </w:rPr>
              <w:t>fficer comments</w:t>
            </w:r>
          </w:p>
          <w:p w14:paraId="525509B4" w14:textId="77777777" w:rsidR="001B3EDF" w:rsidRDefault="001B3EDF" w:rsidP="00220EEF"/>
          <w:p w14:paraId="23621815" w14:textId="77777777" w:rsidR="001B3EDF" w:rsidRDefault="001B3EDF" w:rsidP="00220EEF"/>
          <w:p w14:paraId="0542A15E" w14:textId="77777777" w:rsidR="001B3EDF" w:rsidRDefault="001B3EDF" w:rsidP="00220EEF"/>
          <w:p w14:paraId="68354E6A" w14:textId="77777777" w:rsidR="001B3EDF" w:rsidRDefault="001B3EDF" w:rsidP="00220EEF"/>
        </w:tc>
      </w:tr>
      <w:tr w:rsidR="001B3EDF" w14:paraId="53F6FE15" w14:textId="77777777" w:rsidTr="00B94C0C">
        <w:tc>
          <w:tcPr>
            <w:tcW w:w="9242" w:type="dxa"/>
            <w:gridSpan w:val="4"/>
          </w:tcPr>
          <w:p w14:paraId="1AC82521" w14:textId="77777777" w:rsidR="001B3EDF" w:rsidRDefault="001B3EDF" w:rsidP="00220EEF">
            <w:pPr>
              <w:rPr>
                <w:b/>
              </w:rPr>
            </w:pPr>
            <w:r w:rsidRPr="00686BC0">
              <w:rPr>
                <w:b/>
              </w:rPr>
              <w:t xml:space="preserve">Decision </w:t>
            </w:r>
            <w:r>
              <w:rPr>
                <w:b/>
              </w:rPr>
              <w:t>made</w:t>
            </w:r>
          </w:p>
          <w:p w14:paraId="0B4531D1" w14:textId="77777777" w:rsidR="001B3EDF" w:rsidRDefault="001B3EDF" w:rsidP="00220EEF"/>
          <w:p w14:paraId="7894D5B2" w14:textId="77777777" w:rsidR="001B3EDF" w:rsidRDefault="001B3EDF" w:rsidP="00220EEF"/>
          <w:p w14:paraId="00D70567" w14:textId="77777777" w:rsidR="001B3EDF" w:rsidRDefault="001B3EDF" w:rsidP="00220EEF"/>
        </w:tc>
      </w:tr>
      <w:tr w:rsidR="001B3EDF" w14:paraId="1B0D6945" w14:textId="77777777" w:rsidTr="00B94C0C">
        <w:tc>
          <w:tcPr>
            <w:tcW w:w="9242" w:type="dxa"/>
            <w:gridSpan w:val="4"/>
          </w:tcPr>
          <w:p w14:paraId="457E5847" w14:textId="77777777" w:rsidR="001B3EDF" w:rsidRPr="00686BC0" w:rsidRDefault="001B3EDF" w:rsidP="00220EEF">
            <w:pPr>
              <w:rPr>
                <w:b/>
              </w:rPr>
            </w:pPr>
            <w:r w:rsidRPr="00542F61">
              <w:rPr>
                <w:b/>
              </w:rPr>
              <w:t>PCC Signature</w:t>
            </w:r>
            <w:r>
              <w:rPr>
                <w:b/>
              </w:rPr>
              <w:t>:</w:t>
            </w:r>
          </w:p>
        </w:tc>
      </w:tr>
      <w:tr w:rsidR="001B3EDF" w14:paraId="5DBA431C" w14:textId="77777777" w:rsidTr="00B94C0C">
        <w:tc>
          <w:tcPr>
            <w:tcW w:w="9242" w:type="dxa"/>
            <w:gridSpan w:val="4"/>
          </w:tcPr>
          <w:p w14:paraId="6C8C4EDC" w14:textId="77777777" w:rsidR="001B3EDF" w:rsidRPr="009B755F" w:rsidRDefault="001B3EDF" w:rsidP="00220EEF">
            <w:pPr>
              <w:rPr>
                <w:b/>
              </w:rPr>
            </w:pPr>
            <w:r w:rsidRPr="00542F61">
              <w:rPr>
                <w:b/>
              </w:rPr>
              <w:t>Date</w:t>
            </w:r>
            <w:r>
              <w:rPr>
                <w:b/>
              </w:rPr>
              <w:t xml:space="preserve"> of Decision</w:t>
            </w:r>
            <w:r w:rsidRPr="00542F61">
              <w:rPr>
                <w:b/>
              </w:rPr>
              <w:t>:</w:t>
            </w:r>
          </w:p>
        </w:tc>
      </w:tr>
    </w:tbl>
    <w:p w14:paraId="4DAD664F" w14:textId="77777777" w:rsidR="001B3EDF" w:rsidRPr="009B755F" w:rsidRDefault="001B3EDF" w:rsidP="001B3EDF"/>
    <w:p w14:paraId="103AB613" w14:textId="6F0E4EBC" w:rsidR="00303437" w:rsidRDefault="00303437">
      <w:pPr>
        <w:rPr>
          <w:b/>
          <w:bCs/>
          <w:color w:val="000000"/>
        </w:rPr>
      </w:pPr>
      <w:r>
        <w:rPr>
          <w:b/>
          <w:bCs/>
          <w:color w:val="000000"/>
        </w:rPr>
        <w:br w:type="page"/>
      </w:r>
    </w:p>
    <w:p w14:paraId="164A3296" w14:textId="48B24A26" w:rsidR="00303437" w:rsidRPr="006A57C8" w:rsidRDefault="00303437" w:rsidP="00303437">
      <w:pPr>
        <w:spacing w:after="0"/>
        <w:jc w:val="right"/>
        <w:rPr>
          <w:b/>
          <w:sz w:val="28"/>
          <w:szCs w:val="28"/>
        </w:rPr>
      </w:pPr>
      <w:r>
        <w:rPr>
          <w:b/>
          <w:sz w:val="28"/>
          <w:szCs w:val="28"/>
        </w:rPr>
        <w:lastRenderedPageBreak/>
        <w:t>Appendix B</w:t>
      </w:r>
    </w:p>
    <w:p w14:paraId="12EF6E6C" w14:textId="0AF19032" w:rsidR="001B3EDF" w:rsidRDefault="00303437" w:rsidP="00303437">
      <w:pPr>
        <w:autoSpaceDE w:val="0"/>
        <w:autoSpaceDN w:val="0"/>
        <w:adjustRightInd w:val="0"/>
        <w:spacing w:after="0" w:line="240" w:lineRule="auto"/>
        <w:jc w:val="center"/>
        <w:rPr>
          <w:b/>
          <w:bCs/>
          <w:color w:val="000000"/>
        </w:rPr>
      </w:pPr>
      <w:r>
        <w:rPr>
          <w:noProof/>
          <w:lang w:eastAsia="en-GB"/>
        </w:rPr>
        <w:drawing>
          <wp:inline distT="0" distB="0" distL="0" distR="0" wp14:anchorId="70357EA4" wp14:editId="4F48476C">
            <wp:extent cx="2277374" cy="9225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C-New-Logo-May2017-Small.png"/>
                    <pic:cNvPicPr/>
                  </pic:nvPicPr>
                  <pic:blipFill>
                    <a:blip r:embed="rId11">
                      <a:extLst>
                        <a:ext uri="{28A0092B-C50C-407E-A947-70E740481C1C}">
                          <a14:useLocalDpi xmlns:a14="http://schemas.microsoft.com/office/drawing/2010/main" val="0"/>
                        </a:ext>
                      </a:extLst>
                    </a:blip>
                    <a:stretch>
                      <a:fillRect/>
                    </a:stretch>
                  </pic:blipFill>
                  <pic:spPr>
                    <a:xfrm>
                      <a:off x="0" y="0"/>
                      <a:ext cx="2292063" cy="928537"/>
                    </a:xfrm>
                    <a:prstGeom prst="rect">
                      <a:avLst/>
                    </a:prstGeom>
                  </pic:spPr>
                </pic:pic>
              </a:graphicData>
            </a:graphic>
          </wp:inline>
        </w:drawing>
      </w:r>
    </w:p>
    <w:p w14:paraId="589538FD" w14:textId="77777777" w:rsidR="00303437" w:rsidRDefault="00303437" w:rsidP="00303437">
      <w:pPr>
        <w:autoSpaceDE w:val="0"/>
        <w:autoSpaceDN w:val="0"/>
        <w:adjustRightInd w:val="0"/>
        <w:spacing w:after="0" w:line="240" w:lineRule="auto"/>
        <w:rPr>
          <w:b/>
          <w:bCs/>
          <w:color w:val="000000"/>
        </w:rPr>
      </w:pPr>
    </w:p>
    <w:p w14:paraId="6FB826B0" w14:textId="77777777" w:rsidR="00303437" w:rsidRDefault="00303437" w:rsidP="00303437">
      <w:pPr>
        <w:autoSpaceDE w:val="0"/>
        <w:autoSpaceDN w:val="0"/>
        <w:adjustRightInd w:val="0"/>
        <w:spacing w:after="0" w:line="240" w:lineRule="auto"/>
        <w:rPr>
          <w:b/>
          <w:bCs/>
          <w:color w:val="000000"/>
        </w:rPr>
      </w:pPr>
    </w:p>
    <w:p w14:paraId="15A66514" w14:textId="77777777" w:rsidR="00303437" w:rsidRPr="006602B2" w:rsidRDefault="00303437" w:rsidP="00303437">
      <w:pPr>
        <w:spacing w:after="0"/>
        <w:rPr>
          <w:b/>
          <w:sz w:val="28"/>
          <w:szCs w:val="28"/>
          <w:u w:val="single"/>
        </w:rPr>
      </w:pPr>
      <w:r w:rsidRPr="001E0CD7">
        <w:rPr>
          <w:rFonts w:cs="Arial"/>
          <w:noProof/>
          <w:sz w:val="24"/>
          <w:szCs w:val="24"/>
          <w:lang w:eastAsia="en-GB"/>
        </w:rPr>
        <mc:AlternateContent>
          <mc:Choice Requires="wps">
            <w:drawing>
              <wp:anchor distT="45720" distB="45720" distL="114300" distR="114300" simplePos="0" relativeHeight="251663360" behindDoc="0" locked="0" layoutInCell="1" allowOverlap="1" wp14:anchorId="4898DB8D" wp14:editId="2B2B7994">
                <wp:simplePos x="0" y="0"/>
                <wp:positionH relativeFrom="column">
                  <wp:posOffset>-19050</wp:posOffset>
                </wp:positionH>
                <wp:positionV relativeFrom="paragraph">
                  <wp:posOffset>47625</wp:posOffset>
                </wp:positionV>
                <wp:extent cx="5705475" cy="333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33375"/>
                        </a:xfrm>
                        <a:prstGeom prst="rect">
                          <a:avLst/>
                        </a:prstGeom>
                        <a:solidFill>
                          <a:schemeClr val="accent1">
                            <a:lumMod val="40000"/>
                            <a:lumOff val="60000"/>
                          </a:schemeClr>
                        </a:solidFill>
                        <a:ln w="9525">
                          <a:solidFill>
                            <a:srgbClr val="000000"/>
                          </a:solidFill>
                          <a:miter lim="800000"/>
                          <a:headEnd/>
                          <a:tailEnd/>
                        </a:ln>
                      </wps:spPr>
                      <wps:txbx>
                        <w:txbxContent>
                          <w:p w14:paraId="71AD87A2" w14:textId="77777777" w:rsidR="00303437" w:rsidRPr="004A4A4C" w:rsidRDefault="00303437" w:rsidP="00303437">
                            <w:pPr>
                              <w:spacing w:after="0"/>
                              <w:jc w:val="center"/>
                              <w:rPr>
                                <w:rFonts w:ascii="Arial" w:hAnsi="Arial" w:cs="Arial"/>
                              </w:rPr>
                            </w:pPr>
                            <w:r w:rsidRPr="004A4A4C">
                              <w:rPr>
                                <w:rFonts w:ascii="Arial" w:hAnsi="Arial" w:cs="Arial"/>
                                <w:b/>
                                <w:sz w:val="28"/>
                                <w:szCs w:val="28"/>
                                <w:u w:val="single"/>
                              </w:rPr>
                              <w:t>TERMS OF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8DB8D" id="_x0000_t202" coordsize="21600,21600" o:spt="202" path="m,l,21600r21600,l21600,xe">
                <v:stroke joinstyle="miter"/>
                <v:path gradientshapeok="t" o:connecttype="rect"/>
              </v:shapetype>
              <v:shape id="Text Box 2" o:spid="_x0000_s1028" type="#_x0000_t202" style="position:absolute;margin-left:-1.5pt;margin-top:3.75pt;width:449.25pt;height:2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PI9SAIAAIsEAAAOAAAAZHJzL2Uyb0RvYy54bWysVNtu2zAMfR+wfxD0vjjJkqY14hRdug4D&#10;ugvQ7gMYWY6FSaInKbGzrx8lJVm6vQ3zgyBR1OEhD+nl7WA020vnFdqKT0ZjzqQVWCu7rfi354c3&#10;15z5ALYGjVZW/CA9v129frXsu1JOsUVdS8cIxPqy7yrehtCVReFFKw34EXbS0mWDzkCgo9sWtYOe&#10;0I0upuPxVdGjqzuHQnpP1vt8yVcJv2mkCF+axsvAdMWJW0irS+smrsVqCeXWQdcqcaQB/8DCgLIU&#10;9Ax1DwHYzqm/oIwSDj02YSTQFNg0SsiUA2UzGf+RzVMLnUy5UHF8dy6T/3+w4vP+q2Oqrvh0suDM&#10;giGRnuUQ2Dsc2DTWp+98SW5PHTmGgcykc8rVd48ovntmcd2C3co757BvJdTEbxJfFhdPM46PIJv+&#10;E9YUBnYBE9DQOBOLR+VghE46Hc7aRCqCjPPFeD5bzDkTdPeWPtrHEFCeXnfOhw8SDYubijvSPqHD&#10;/tGH7HpyicE8alU/KK3TIfabXGvH9kCdAkJIG3KWemeIbrbPxvTlniEzdVY2X53MxCZ1bkRK3F4E&#10;0Zb1Fb+ZT+e5fC8IuO3mHD7C5TgR8NLNqEDjopWp+PXZCcpY9Pe2piShDKB03tNjbY8qxMJnCcKw&#10;GbLgJ3E3WB9IFod5OmiaadOi+8lZT5NRcf9jB05ypj9akvZmMpvFUUqH2XwxpYO7vNlc3oAVBFXx&#10;wFnerkMav0jV4h21QKOSOrFXMpMjZer4VMPjdMaRujwnr9//kNUvAAAA//8DAFBLAwQUAAYACAAA&#10;ACEAq0O8gt4AAAAHAQAADwAAAGRycy9kb3ducmV2LnhtbEyPy07DMBBF90j8gzVIbFBrQ9RXiFMh&#10;pCxYINTCB0xiNwmJxyF225SvZ1jBbkb36syZbDu5XpzsGFpPGu7nCoSlypuWag0f78VsDSJEJIO9&#10;J6vhYgNs8+urDFPjz7Szp32sBUMopKihiXFIpQxVYx2GuR8scXbwo8PI61hLM+KZ4a6XD0otpcOW&#10;+EKDg31ubNXtj44pXXe5W0kqkuol+S52n19vryVqfXszPT2CiHaKf2X41Wd1yNmp9EcyQfQaZgm/&#10;EjWsFiA4Xm8WPJQalkqBzDP53z//AQAA//8DAFBLAQItABQABgAIAAAAIQC2gziS/gAAAOEBAAAT&#10;AAAAAAAAAAAAAAAAAAAAAABbQ29udGVudF9UeXBlc10ueG1sUEsBAi0AFAAGAAgAAAAhADj9If/W&#10;AAAAlAEAAAsAAAAAAAAAAAAAAAAALwEAAF9yZWxzLy5yZWxzUEsBAi0AFAAGAAgAAAAhAHPc8j1I&#10;AgAAiwQAAA4AAAAAAAAAAAAAAAAALgIAAGRycy9lMm9Eb2MueG1sUEsBAi0AFAAGAAgAAAAhAKtD&#10;vILeAAAABwEAAA8AAAAAAAAAAAAAAAAAogQAAGRycy9kb3ducmV2LnhtbFBLBQYAAAAABAAEAPMA&#10;AACtBQAAAAA=&#10;" fillcolor="#b8cce4 [1300]">
                <v:textbox>
                  <w:txbxContent>
                    <w:p w14:paraId="71AD87A2" w14:textId="77777777" w:rsidR="00303437" w:rsidRPr="004A4A4C" w:rsidRDefault="00303437" w:rsidP="00303437">
                      <w:pPr>
                        <w:spacing w:after="0"/>
                        <w:jc w:val="center"/>
                        <w:rPr>
                          <w:rFonts w:ascii="Arial" w:hAnsi="Arial" w:cs="Arial"/>
                        </w:rPr>
                      </w:pPr>
                      <w:r w:rsidRPr="004A4A4C">
                        <w:rPr>
                          <w:rFonts w:ascii="Arial" w:hAnsi="Arial" w:cs="Arial"/>
                          <w:b/>
                          <w:sz w:val="28"/>
                          <w:szCs w:val="28"/>
                          <w:u w:val="single"/>
                        </w:rPr>
                        <w:t>TERMS OF REFERENCE</w:t>
                      </w:r>
                    </w:p>
                  </w:txbxContent>
                </v:textbox>
                <w10:wrap type="square"/>
              </v:shape>
            </w:pict>
          </mc:Fallback>
        </mc:AlternateContent>
      </w:r>
    </w:p>
    <w:tbl>
      <w:tblPr>
        <w:tblStyle w:val="TableGrid"/>
        <w:tblW w:w="0" w:type="auto"/>
        <w:tblLook w:val="04A0" w:firstRow="1" w:lastRow="0" w:firstColumn="1" w:lastColumn="0" w:noHBand="0" w:noVBand="1"/>
      </w:tblPr>
      <w:tblGrid>
        <w:gridCol w:w="2689"/>
        <w:gridCol w:w="6327"/>
      </w:tblGrid>
      <w:tr w:rsidR="00303437" w:rsidRPr="00FE7F77" w14:paraId="3AF36569" w14:textId="77777777" w:rsidTr="006B7305">
        <w:trPr>
          <w:trHeight w:val="737"/>
        </w:trPr>
        <w:tc>
          <w:tcPr>
            <w:tcW w:w="2689" w:type="dxa"/>
            <w:shd w:val="clear" w:color="auto" w:fill="DBE5F1" w:themeFill="accent1" w:themeFillTint="33"/>
            <w:vAlign w:val="center"/>
          </w:tcPr>
          <w:p w14:paraId="2B805B47" w14:textId="77777777" w:rsidR="00303437" w:rsidRPr="00FE7F77" w:rsidRDefault="00303437" w:rsidP="006B7305">
            <w:pPr>
              <w:jc w:val="center"/>
              <w:rPr>
                <w:b/>
                <w:sz w:val="20"/>
                <w:szCs w:val="20"/>
              </w:rPr>
            </w:pPr>
            <w:r w:rsidRPr="00FE7F77">
              <w:rPr>
                <w:b/>
                <w:sz w:val="20"/>
                <w:szCs w:val="20"/>
              </w:rPr>
              <w:t>MEETING</w:t>
            </w:r>
          </w:p>
        </w:tc>
        <w:tc>
          <w:tcPr>
            <w:tcW w:w="6327" w:type="dxa"/>
            <w:shd w:val="clear" w:color="auto" w:fill="DBE5F1" w:themeFill="accent1" w:themeFillTint="33"/>
            <w:vAlign w:val="center"/>
          </w:tcPr>
          <w:p w14:paraId="763A704E" w14:textId="77777777" w:rsidR="00303437" w:rsidRPr="00FE7F77" w:rsidRDefault="00303437" w:rsidP="006B7305">
            <w:pPr>
              <w:jc w:val="center"/>
              <w:rPr>
                <w:b/>
                <w:sz w:val="20"/>
                <w:szCs w:val="20"/>
              </w:rPr>
            </w:pPr>
            <w:r w:rsidRPr="00FE7F77">
              <w:rPr>
                <w:b/>
                <w:sz w:val="20"/>
                <w:szCs w:val="20"/>
              </w:rPr>
              <w:t>PERFORMANCE ACCOUNTABILITY MEETING (PAM)</w:t>
            </w:r>
          </w:p>
        </w:tc>
      </w:tr>
      <w:tr w:rsidR="00303437" w:rsidRPr="00FE7F77" w14:paraId="00784B7B" w14:textId="77777777" w:rsidTr="006B7305">
        <w:trPr>
          <w:trHeight w:val="567"/>
        </w:trPr>
        <w:tc>
          <w:tcPr>
            <w:tcW w:w="2689" w:type="dxa"/>
            <w:vAlign w:val="center"/>
          </w:tcPr>
          <w:p w14:paraId="26863766" w14:textId="77777777" w:rsidR="00303437" w:rsidRPr="00FE7F77" w:rsidRDefault="00303437" w:rsidP="006B7305">
            <w:pPr>
              <w:jc w:val="center"/>
              <w:rPr>
                <w:b/>
                <w:sz w:val="20"/>
                <w:szCs w:val="20"/>
              </w:rPr>
            </w:pPr>
            <w:r w:rsidRPr="00FE7F77">
              <w:rPr>
                <w:b/>
                <w:sz w:val="20"/>
                <w:szCs w:val="20"/>
              </w:rPr>
              <w:t>Purpose</w:t>
            </w:r>
          </w:p>
        </w:tc>
        <w:tc>
          <w:tcPr>
            <w:tcW w:w="6327" w:type="dxa"/>
            <w:vAlign w:val="center"/>
          </w:tcPr>
          <w:p w14:paraId="06081E1F" w14:textId="77777777" w:rsidR="00303437" w:rsidRPr="00FE7F77" w:rsidRDefault="00303437" w:rsidP="006B7305">
            <w:pPr>
              <w:spacing w:before="120" w:after="120" w:line="278" w:lineRule="auto"/>
              <w:jc w:val="both"/>
              <w:rPr>
                <w:sz w:val="20"/>
                <w:szCs w:val="20"/>
              </w:rPr>
            </w:pPr>
            <w:r w:rsidRPr="00FE7F77">
              <w:rPr>
                <w:sz w:val="20"/>
                <w:szCs w:val="20"/>
              </w:rPr>
              <w:t xml:space="preserve">To facilitate the Police and Crime Commissioner’s statutory duty and electoral mandate under The Police Reform and Social Responsibility Act 2011 (PRSRA) to hold the Chief Constable to account for policing services on behalf of the public. </w:t>
            </w:r>
          </w:p>
        </w:tc>
      </w:tr>
      <w:tr w:rsidR="00303437" w:rsidRPr="00FE7F77" w14:paraId="3A65D2E1" w14:textId="77777777" w:rsidTr="006B7305">
        <w:trPr>
          <w:trHeight w:val="567"/>
        </w:trPr>
        <w:tc>
          <w:tcPr>
            <w:tcW w:w="2689" w:type="dxa"/>
            <w:vAlign w:val="center"/>
          </w:tcPr>
          <w:p w14:paraId="21F45459" w14:textId="77777777" w:rsidR="00303437" w:rsidRPr="00FE7F77" w:rsidRDefault="00303437" w:rsidP="006B7305">
            <w:pPr>
              <w:jc w:val="center"/>
              <w:rPr>
                <w:b/>
                <w:sz w:val="20"/>
                <w:szCs w:val="20"/>
              </w:rPr>
            </w:pPr>
            <w:r w:rsidRPr="00FE7F77">
              <w:rPr>
                <w:b/>
                <w:sz w:val="20"/>
                <w:szCs w:val="20"/>
              </w:rPr>
              <w:t>Frequency</w:t>
            </w:r>
          </w:p>
        </w:tc>
        <w:tc>
          <w:tcPr>
            <w:tcW w:w="6327" w:type="dxa"/>
            <w:vAlign w:val="center"/>
          </w:tcPr>
          <w:p w14:paraId="3554A9AF" w14:textId="77777777" w:rsidR="00303437" w:rsidRPr="00FE7F77" w:rsidRDefault="00303437" w:rsidP="00303437">
            <w:pPr>
              <w:pStyle w:val="ListParagraph"/>
              <w:numPr>
                <w:ilvl w:val="0"/>
                <w:numId w:val="6"/>
              </w:numPr>
              <w:ind w:left="317" w:hanging="284"/>
              <w:jc w:val="both"/>
              <w:rPr>
                <w:sz w:val="20"/>
                <w:szCs w:val="20"/>
              </w:rPr>
            </w:pPr>
            <w:r w:rsidRPr="00FE7F77">
              <w:rPr>
                <w:sz w:val="20"/>
                <w:szCs w:val="20"/>
              </w:rPr>
              <w:t xml:space="preserve">Monthly. </w:t>
            </w:r>
          </w:p>
          <w:p w14:paraId="0BFE6B44" w14:textId="77777777" w:rsidR="00303437" w:rsidRPr="00FE7F77" w:rsidRDefault="00303437" w:rsidP="00303437">
            <w:pPr>
              <w:pStyle w:val="ListParagraph"/>
              <w:numPr>
                <w:ilvl w:val="0"/>
                <w:numId w:val="6"/>
              </w:numPr>
              <w:ind w:left="317" w:hanging="284"/>
              <w:jc w:val="both"/>
              <w:rPr>
                <w:sz w:val="20"/>
                <w:szCs w:val="20"/>
              </w:rPr>
            </w:pPr>
            <w:r w:rsidRPr="00FE7F77">
              <w:rPr>
                <w:sz w:val="20"/>
                <w:szCs w:val="20"/>
              </w:rPr>
              <w:t>Default - Last Tuesday in month.</w:t>
            </w:r>
          </w:p>
        </w:tc>
      </w:tr>
      <w:tr w:rsidR="00303437" w:rsidRPr="00FE7F77" w14:paraId="74822E31" w14:textId="77777777" w:rsidTr="006B7305">
        <w:trPr>
          <w:trHeight w:val="567"/>
        </w:trPr>
        <w:tc>
          <w:tcPr>
            <w:tcW w:w="2689" w:type="dxa"/>
            <w:vAlign w:val="center"/>
          </w:tcPr>
          <w:p w14:paraId="6F57C249" w14:textId="77777777" w:rsidR="00303437" w:rsidRPr="00FE7F77" w:rsidRDefault="00303437" w:rsidP="006B7305">
            <w:pPr>
              <w:jc w:val="center"/>
              <w:rPr>
                <w:b/>
                <w:sz w:val="20"/>
                <w:szCs w:val="20"/>
              </w:rPr>
            </w:pPr>
            <w:r w:rsidRPr="00FE7F77">
              <w:rPr>
                <w:b/>
                <w:sz w:val="20"/>
                <w:szCs w:val="20"/>
              </w:rPr>
              <w:t>Location</w:t>
            </w:r>
          </w:p>
        </w:tc>
        <w:tc>
          <w:tcPr>
            <w:tcW w:w="6327" w:type="dxa"/>
            <w:vAlign w:val="center"/>
          </w:tcPr>
          <w:p w14:paraId="14C56A0D" w14:textId="77777777" w:rsidR="00303437" w:rsidRPr="00FE7F77" w:rsidRDefault="00303437" w:rsidP="006B7305">
            <w:pPr>
              <w:jc w:val="both"/>
              <w:rPr>
                <w:sz w:val="20"/>
                <w:szCs w:val="20"/>
              </w:rPr>
            </w:pPr>
            <w:r w:rsidRPr="00FE7F77">
              <w:rPr>
                <w:sz w:val="20"/>
                <w:szCs w:val="20"/>
              </w:rPr>
              <w:t>Warwickshire Police HQ, Leek Wootton.</w:t>
            </w:r>
          </w:p>
        </w:tc>
      </w:tr>
      <w:tr w:rsidR="00303437" w:rsidRPr="00FE7F77" w14:paraId="5A07AC8F" w14:textId="77777777" w:rsidTr="006B7305">
        <w:trPr>
          <w:trHeight w:val="567"/>
        </w:trPr>
        <w:tc>
          <w:tcPr>
            <w:tcW w:w="2689" w:type="dxa"/>
            <w:vAlign w:val="center"/>
          </w:tcPr>
          <w:p w14:paraId="4132F3DA" w14:textId="77777777" w:rsidR="00303437" w:rsidRPr="00FE7F77" w:rsidRDefault="00303437" w:rsidP="006B7305">
            <w:pPr>
              <w:jc w:val="center"/>
              <w:rPr>
                <w:b/>
                <w:sz w:val="20"/>
                <w:szCs w:val="20"/>
              </w:rPr>
            </w:pPr>
            <w:r w:rsidRPr="00FE7F77">
              <w:rPr>
                <w:b/>
                <w:sz w:val="20"/>
                <w:szCs w:val="20"/>
              </w:rPr>
              <w:t>Chair</w:t>
            </w:r>
          </w:p>
        </w:tc>
        <w:tc>
          <w:tcPr>
            <w:tcW w:w="6327" w:type="dxa"/>
            <w:vAlign w:val="center"/>
          </w:tcPr>
          <w:p w14:paraId="5AC1DB52" w14:textId="77777777" w:rsidR="00303437" w:rsidRPr="00FE7F77" w:rsidRDefault="00303437" w:rsidP="006B7305">
            <w:pPr>
              <w:jc w:val="both"/>
              <w:rPr>
                <w:sz w:val="20"/>
                <w:szCs w:val="20"/>
              </w:rPr>
            </w:pPr>
            <w:r w:rsidRPr="00FE7F77">
              <w:rPr>
                <w:sz w:val="20"/>
                <w:szCs w:val="20"/>
              </w:rPr>
              <w:t>Warwickshire Police and Crime Commissioner (PCC).</w:t>
            </w:r>
          </w:p>
        </w:tc>
      </w:tr>
      <w:tr w:rsidR="00303437" w:rsidRPr="00FE7F77" w14:paraId="5C0F72EE" w14:textId="77777777" w:rsidTr="006B7305">
        <w:trPr>
          <w:trHeight w:val="567"/>
        </w:trPr>
        <w:tc>
          <w:tcPr>
            <w:tcW w:w="2689" w:type="dxa"/>
            <w:vAlign w:val="center"/>
          </w:tcPr>
          <w:p w14:paraId="7373C6A2" w14:textId="77777777" w:rsidR="00303437" w:rsidRPr="00FE7F77" w:rsidRDefault="00303437" w:rsidP="006B7305">
            <w:pPr>
              <w:jc w:val="center"/>
              <w:rPr>
                <w:b/>
                <w:sz w:val="20"/>
                <w:szCs w:val="20"/>
              </w:rPr>
            </w:pPr>
            <w:r w:rsidRPr="00FE7F77">
              <w:rPr>
                <w:b/>
                <w:sz w:val="20"/>
                <w:szCs w:val="20"/>
              </w:rPr>
              <w:t>Membership</w:t>
            </w:r>
          </w:p>
        </w:tc>
        <w:tc>
          <w:tcPr>
            <w:tcW w:w="6327" w:type="dxa"/>
            <w:vAlign w:val="center"/>
          </w:tcPr>
          <w:p w14:paraId="3B982924" w14:textId="77777777" w:rsidR="00303437" w:rsidRPr="00FE7F77" w:rsidRDefault="00303437" w:rsidP="00303437">
            <w:pPr>
              <w:pStyle w:val="ListParagraph"/>
              <w:numPr>
                <w:ilvl w:val="0"/>
                <w:numId w:val="5"/>
              </w:numPr>
              <w:ind w:left="341" w:hanging="284"/>
              <w:jc w:val="both"/>
              <w:rPr>
                <w:sz w:val="20"/>
                <w:szCs w:val="20"/>
              </w:rPr>
            </w:pPr>
            <w:r w:rsidRPr="00FE7F77">
              <w:rPr>
                <w:sz w:val="20"/>
                <w:szCs w:val="20"/>
              </w:rPr>
              <w:t>Police and Crime Commissioner (PCC.)</w:t>
            </w:r>
          </w:p>
          <w:p w14:paraId="576F2052" w14:textId="77777777" w:rsidR="00303437" w:rsidRPr="00FE7F77" w:rsidRDefault="00303437" w:rsidP="00303437">
            <w:pPr>
              <w:pStyle w:val="ListParagraph"/>
              <w:numPr>
                <w:ilvl w:val="0"/>
                <w:numId w:val="5"/>
              </w:numPr>
              <w:ind w:left="341" w:hanging="284"/>
              <w:jc w:val="both"/>
              <w:rPr>
                <w:sz w:val="20"/>
                <w:szCs w:val="20"/>
              </w:rPr>
            </w:pPr>
            <w:r w:rsidRPr="00FE7F77">
              <w:rPr>
                <w:sz w:val="20"/>
                <w:szCs w:val="20"/>
              </w:rPr>
              <w:t>Chief Constable (CC).</w:t>
            </w:r>
          </w:p>
          <w:p w14:paraId="5D37C640" w14:textId="77777777" w:rsidR="00303437" w:rsidRPr="00FE7F77" w:rsidRDefault="00303437" w:rsidP="00303437">
            <w:pPr>
              <w:pStyle w:val="ListParagraph"/>
              <w:numPr>
                <w:ilvl w:val="0"/>
                <w:numId w:val="5"/>
              </w:numPr>
              <w:ind w:left="341" w:hanging="284"/>
              <w:jc w:val="both"/>
              <w:rPr>
                <w:sz w:val="20"/>
                <w:szCs w:val="20"/>
              </w:rPr>
            </w:pPr>
            <w:r w:rsidRPr="00FE7F77">
              <w:rPr>
                <w:sz w:val="20"/>
                <w:szCs w:val="20"/>
              </w:rPr>
              <w:t>Deputy Chief Constable (DCC).</w:t>
            </w:r>
          </w:p>
          <w:p w14:paraId="3FBD64A2" w14:textId="77777777" w:rsidR="00303437" w:rsidRPr="00FE7F77" w:rsidRDefault="00303437" w:rsidP="00303437">
            <w:pPr>
              <w:pStyle w:val="ListParagraph"/>
              <w:numPr>
                <w:ilvl w:val="0"/>
                <w:numId w:val="5"/>
              </w:numPr>
              <w:ind w:left="341" w:hanging="284"/>
              <w:jc w:val="both"/>
              <w:rPr>
                <w:sz w:val="20"/>
                <w:szCs w:val="20"/>
              </w:rPr>
            </w:pPr>
            <w:r w:rsidRPr="00FE7F77">
              <w:rPr>
                <w:sz w:val="20"/>
                <w:szCs w:val="20"/>
              </w:rPr>
              <w:t>Assistant Chief Constables, as required.</w:t>
            </w:r>
          </w:p>
          <w:p w14:paraId="5FCA7D75" w14:textId="77777777" w:rsidR="00303437" w:rsidRPr="00FE7F77" w:rsidRDefault="00303437" w:rsidP="00303437">
            <w:pPr>
              <w:pStyle w:val="ListParagraph"/>
              <w:numPr>
                <w:ilvl w:val="0"/>
                <w:numId w:val="5"/>
              </w:numPr>
              <w:ind w:left="341" w:hanging="284"/>
              <w:jc w:val="both"/>
              <w:rPr>
                <w:sz w:val="20"/>
                <w:szCs w:val="20"/>
              </w:rPr>
            </w:pPr>
            <w:r w:rsidRPr="00FE7F77">
              <w:rPr>
                <w:sz w:val="20"/>
                <w:szCs w:val="20"/>
              </w:rPr>
              <w:t>OPCC Chief Executive Officer (CEO).</w:t>
            </w:r>
          </w:p>
          <w:p w14:paraId="763BCCD7" w14:textId="77777777" w:rsidR="00303437" w:rsidRPr="00FE7F77" w:rsidRDefault="00303437" w:rsidP="00303437">
            <w:pPr>
              <w:pStyle w:val="ListParagraph"/>
              <w:numPr>
                <w:ilvl w:val="0"/>
                <w:numId w:val="5"/>
              </w:numPr>
              <w:ind w:left="341" w:hanging="284"/>
              <w:jc w:val="both"/>
              <w:rPr>
                <w:sz w:val="20"/>
                <w:szCs w:val="20"/>
              </w:rPr>
            </w:pPr>
            <w:r w:rsidRPr="00FE7F77">
              <w:rPr>
                <w:sz w:val="20"/>
                <w:szCs w:val="20"/>
              </w:rPr>
              <w:t>OPCC Performance Lead.</w:t>
            </w:r>
          </w:p>
          <w:p w14:paraId="6F2E3E0D" w14:textId="77777777" w:rsidR="00303437" w:rsidRPr="00FE7F77" w:rsidRDefault="00303437" w:rsidP="00303437">
            <w:pPr>
              <w:pStyle w:val="ListParagraph"/>
              <w:numPr>
                <w:ilvl w:val="0"/>
                <w:numId w:val="5"/>
              </w:numPr>
              <w:ind w:left="341" w:hanging="284"/>
              <w:jc w:val="both"/>
              <w:rPr>
                <w:sz w:val="20"/>
                <w:szCs w:val="20"/>
              </w:rPr>
            </w:pPr>
            <w:r w:rsidRPr="00FE7F77">
              <w:rPr>
                <w:sz w:val="20"/>
                <w:szCs w:val="20"/>
              </w:rPr>
              <w:t xml:space="preserve">Others as required by invitation. </w:t>
            </w:r>
          </w:p>
        </w:tc>
      </w:tr>
      <w:tr w:rsidR="00303437" w:rsidRPr="00FE7F77" w14:paraId="66B819E5" w14:textId="77777777" w:rsidTr="006B7305">
        <w:trPr>
          <w:trHeight w:val="567"/>
        </w:trPr>
        <w:tc>
          <w:tcPr>
            <w:tcW w:w="2689" w:type="dxa"/>
            <w:vAlign w:val="center"/>
          </w:tcPr>
          <w:p w14:paraId="57B8F830" w14:textId="77777777" w:rsidR="00303437" w:rsidRPr="00FE7F77" w:rsidRDefault="00303437" w:rsidP="006B7305">
            <w:pPr>
              <w:jc w:val="center"/>
              <w:rPr>
                <w:b/>
                <w:sz w:val="20"/>
                <w:szCs w:val="20"/>
              </w:rPr>
            </w:pPr>
            <w:r w:rsidRPr="00FE7F77">
              <w:rPr>
                <w:b/>
                <w:sz w:val="20"/>
                <w:szCs w:val="20"/>
              </w:rPr>
              <w:t>Core Terms of Reference</w:t>
            </w:r>
          </w:p>
        </w:tc>
        <w:tc>
          <w:tcPr>
            <w:tcW w:w="6327" w:type="dxa"/>
            <w:vAlign w:val="center"/>
          </w:tcPr>
          <w:p w14:paraId="6E164092" w14:textId="77777777" w:rsidR="00303437" w:rsidRPr="00FE7F77" w:rsidRDefault="00303437" w:rsidP="00303437">
            <w:pPr>
              <w:pStyle w:val="ListParagraph"/>
              <w:numPr>
                <w:ilvl w:val="0"/>
                <w:numId w:val="12"/>
              </w:numPr>
              <w:spacing w:before="120" w:after="120" w:line="276" w:lineRule="auto"/>
              <w:ind w:left="317" w:hanging="284"/>
              <w:jc w:val="both"/>
              <w:rPr>
                <w:sz w:val="20"/>
                <w:szCs w:val="20"/>
              </w:rPr>
            </w:pPr>
            <w:r w:rsidRPr="00FE7F77">
              <w:rPr>
                <w:sz w:val="20"/>
                <w:szCs w:val="20"/>
              </w:rPr>
              <w:t xml:space="preserve">As at Appendix A.    </w:t>
            </w:r>
          </w:p>
        </w:tc>
      </w:tr>
      <w:tr w:rsidR="00303437" w:rsidRPr="00FE7F77" w14:paraId="267B5B12" w14:textId="77777777" w:rsidTr="006B7305">
        <w:trPr>
          <w:trHeight w:val="567"/>
        </w:trPr>
        <w:tc>
          <w:tcPr>
            <w:tcW w:w="2689" w:type="dxa"/>
            <w:vAlign w:val="center"/>
          </w:tcPr>
          <w:p w14:paraId="3FC665F2" w14:textId="77777777" w:rsidR="00303437" w:rsidRPr="00FE7F77" w:rsidRDefault="00303437" w:rsidP="006B7305">
            <w:pPr>
              <w:jc w:val="center"/>
              <w:rPr>
                <w:b/>
                <w:sz w:val="20"/>
                <w:szCs w:val="20"/>
              </w:rPr>
            </w:pPr>
            <w:r w:rsidRPr="00FE7F77">
              <w:rPr>
                <w:b/>
                <w:sz w:val="20"/>
                <w:szCs w:val="20"/>
              </w:rPr>
              <w:t>Input into Meeting</w:t>
            </w:r>
          </w:p>
        </w:tc>
        <w:tc>
          <w:tcPr>
            <w:tcW w:w="6327" w:type="dxa"/>
            <w:vAlign w:val="center"/>
          </w:tcPr>
          <w:p w14:paraId="3941C324" w14:textId="77777777" w:rsidR="00303437" w:rsidRPr="00FE7F77" w:rsidRDefault="00303437" w:rsidP="00303437">
            <w:pPr>
              <w:pStyle w:val="ListParagraph"/>
              <w:numPr>
                <w:ilvl w:val="0"/>
                <w:numId w:val="10"/>
              </w:numPr>
              <w:ind w:left="317" w:hanging="284"/>
              <w:jc w:val="both"/>
              <w:rPr>
                <w:sz w:val="20"/>
                <w:szCs w:val="20"/>
              </w:rPr>
            </w:pPr>
            <w:r w:rsidRPr="00FE7F77">
              <w:rPr>
                <w:sz w:val="20"/>
                <w:szCs w:val="20"/>
              </w:rPr>
              <w:t>A&amp;SI Monthly Performance Summary.</w:t>
            </w:r>
          </w:p>
          <w:p w14:paraId="2AE807D5" w14:textId="77777777" w:rsidR="00303437" w:rsidRPr="00FE7F77" w:rsidRDefault="00303437" w:rsidP="00303437">
            <w:pPr>
              <w:pStyle w:val="ListParagraph"/>
              <w:numPr>
                <w:ilvl w:val="0"/>
                <w:numId w:val="10"/>
              </w:numPr>
              <w:ind w:left="317" w:hanging="284"/>
              <w:jc w:val="both"/>
              <w:rPr>
                <w:sz w:val="20"/>
                <w:szCs w:val="20"/>
              </w:rPr>
            </w:pPr>
            <w:r w:rsidRPr="00FE7F77">
              <w:rPr>
                <w:sz w:val="20"/>
                <w:szCs w:val="20"/>
              </w:rPr>
              <w:t>OPCC Force Performance Scrutiny Report.</w:t>
            </w:r>
          </w:p>
          <w:p w14:paraId="2281425C" w14:textId="77777777" w:rsidR="00303437" w:rsidRPr="00FE7F77" w:rsidRDefault="00303437" w:rsidP="00303437">
            <w:pPr>
              <w:pStyle w:val="ListParagraph"/>
              <w:numPr>
                <w:ilvl w:val="0"/>
                <w:numId w:val="10"/>
              </w:numPr>
              <w:ind w:left="317" w:hanging="284"/>
              <w:jc w:val="both"/>
              <w:rPr>
                <w:sz w:val="20"/>
                <w:szCs w:val="20"/>
              </w:rPr>
            </w:pPr>
            <w:r w:rsidRPr="00FE7F77">
              <w:rPr>
                <w:sz w:val="20"/>
                <w:szCs w:val="20"/>
              </w:rPr>
              <w:t>Monthly ‘deep-dive’ topic, agreed in advance each quarter.</w:t>
            </w:r>
          </w:p>
          <w:p w14:paraId="53DB7DF1" w14:textId="77777777" w:rsidR="00303437" w:rsidRPr="00FE7F77" w:rsidRDefault="00303437" w:rsidP="00303437">
            <w:pPr>
              <w:pStyle w:val="ListParagraph"/>
              <w:numPr>
                <w:ilvl w:val="0"/>
                <w:numId w:val="10"/>
              </w:numPr>
              <w:ind w:left="317" w:hanging="284"/>
              <w:jc w:val="both"/>
              <w:rPr>
                <w:sz w:val="20"/>
                <w:szCs w:val="20"/>
              </w:rPr>
            </w:pPr>
            <w:r w:rsidRPr="00FE7F77">
              <w:rPr>
                <w:sz w:val="20"/>
                <w:szCs w:val="20"/>
              </w:rPr>
              <w:t>Reports as required.</w:t>
            </w:r>
          </w:p>
        </w:tc>
      </w:tr>
      <w:tr w:rsidR="00303437" w:rsidRPr="00FE7F77" w14:paraId="76BA8136" w14:textId="77777777" w:rsidTr="006B7305">
        <w:trPr>
          <w:trHeight w:val="567"/>
        </w:trPr>
        <w:tc>
          <w:tcPr>
            <w:tcW w:w="2689" w:type="dxa"/>
            <w:vAlign w:val="center"/>
          </w:tcPr>
          <w:p w14:paraId="6561972E" w14:textId="77777777" w:rsidR="00303437" w:rsidRPr="00FE7F77" w:rsidRDefault="00303437" w:rsidP="006B7305">
            <w:pPr>
              <w:jc w:val="center"/>
              <w:rPr>
                <w:b/>
                <w:sz w:val="20"/>
                <w:szCs w:val="20"/>
              </w:rPr>
            </w:pPr>
            <w:r w:rsidRPr="00FE7F77">
              <w:rPr>
                <w:b/>
                <w:sz w:val="20"/>
                <w:szCs w:val="20"/>
              </w:rPr>
              <w:t>Deliverables</w:t>
            </w:r>
          </w:p>
        </w:tc>
        <w:tc>
          <w:tcPr>
            <w:tcW w:w="6327" w:type="dxa"/>
            <w:vAlign w:val="center"/>
          </w:tcPr>
          <w:p w14:paraId="6BF1B126" w14:textId="77777777" w:rsidR="00303437" w:rsidRPr="00FE7F77" w:rsidRDefault="00303437" w:rsidP="00303437">
            <w:pPr>
              <w:pStyle w:val="ListParagraph"/>
              <w:numPr>
                <w:ilvl w:val="0"/>
                <w:numId w:val="13"/>
              </w:numPr>
              <w:ind w:left="317" w:hanging="284"/>
              <w:jc w:val="both"/>
              <w:rPr>
                <w:sz w:val="20"/>
                <w:szCs w:val="20"/>
              </w:rPr>
            </w:pPr>
            <w:r w:rsidRPr="00FE7F77">
              <w:rPr>
                <w:sz w:val="20"/>
                <w:szCs w:val="20"/>
              </w:rPr>
              <w:t>Monthly - A record of actions and decision.</w:t>
            </w:r>
          </w:p>
          <w:p w14:paraId="3225FF28" w14:textId="77777777" w:rsidR="00303437" w:rsidRPr="00FE7F77" w:rsidRDefault="00303437" w:rsidP="00303437">
            <w:pPr>
              <w:pStyle w:val="ListParagraph"/>
              <w:numPr>
                <w:ilvl w:val="0"/>
                <w:numId w:val="13"/>
              </w:numPr>
              <w:ind w:left="317" w:hanging="284"/>
              <w:jc w:val="both"/>
              <w:rPr>
                <w:sz w:val="20"/>
                <w:szCs w:val="20"/>
              </w:rPr>
            </w:pPr>
            <w:r w:rsidRPr="00FE7F77">
              <w:rPr>
                <w:sz w:val="20"/>
                <w:szCs w:val="20"/>
              </w:rPr>
              <w:t xml:space="preserve">Quarterly - Written response from the CC to the OPCC Performance Scrutiny Report. </w:t>
            </w:r>
          </w:p>
        </w:tc>
      </w:tr>
      <w:tr w:rsidR="00303437" w:rsidRPr="00FE7F77" w14:paraId="7CC14C58" w14:textId="77777777" w:rsidTr="006B7305">
        <w:trPr>
          <w:trHeight w:val="567"/>
        </w:trPr>
        <w:tc>
          <w:tcPr>
            <w:tcW w:w="2689" w:type="dxa"/>
            <w:vAlign w:val="center"/>
          </w:tcPr>
          <w:p w14:paraId="6BFBF318" w14:textId="77777777" w:rsidR="00303437" w:rsidRPr="00FE7F77" w:rsidRDefault="00303437" w:rsidP="006B7305">
            <w:pPr>
              <w:jc w:val="center"/>
              <w:rPr>
                <w:b/>
                <w:sz w:val="20"/>
                <w:szCs w:val="20"/>
              </w:rPr>
            </w:pPr>
            <w:r w:rsidRPr="00FE7F77">
              <w:rPr>
                <w:b/>
                <w:sz w:val="20"/>
                <w:szCs w:val="20"/>
              </w:rPr>
              <w:t>Linked Meeting</w:t>
            </w:r>
          </w:p>
        </w:tc>
        <w:tc>
          <w:tcPr>
            <w:tcW w:w="6327" w:type="dxa"/>
            <w:vAlign w:val="center"/>
          </w:tcPr>
          <w:p w14:paraId="3BA9D0F0" w14:textId="77777777" w:rsidR="00303437" w:rsidRPr="00FE7F77" w:rsidRDefault="00303437" w:rsidP="006B7305">
            <w:pPr>
              <w:jc w:val="both"/>
              <w:rPr>
                <w:sz w:val="20"/>
                <w:szCs w:val="20"/>
              </w:rPr>
            </w:pPr>
            <w:r w:rsidRPr="00FE7F77">
              <w:rPr>
                <w:sz w:val="20"/>
                <w:szCs w:val="20"/>
              </w:rPr>
              <w:t>Warwickshire Police Governance Meeting.</w:t>
            </w:r>
          </w:p>
        </w:tc>
      </w:tr>
      <w:tr w:rsidR="00303437" w:rsidRPr="00FE7F77" w14:paraId="56DAC3BA" w14:textId="77777777" w:rsidTr="006B7305">
        <w:trPr>
          <w:trHeight w:val="567"/>
        </w:trPr>
        <w:tc>
          <w:tcPr>
            <w:tcW w:w="2689" w:type="dxa"/>
            <w:vAlign w:val="center"/>
          </w:tcPr>
          <w:p w14:paraId="1E9ABEE9" w14:textId="77777777" w:rsidR="00303437" w:rsidRPr="00FE7F77" w:rsidRDefault="00303437" w:rsidP="006B7305">
            <w:pPr>
              <w:jc w:val="center"/>
              <w:rPr>
                <w:b/>
                <w:sz w:val="20"/>
                <w:szCs w:val="20"/>
              </w:rPr>
            </w:pPr>
            <w:r w:rsidRPr="00FE7F77">
              <w:rPr>
                <w:b/>
                <w:sz w:val="20"/>
                <w:szCs w:val="20"/>
              </w:rPr>
              <w:t>Standing Agenda</w:t>
            </w:r>
          </w:p>
        </w:tc>
        <w:tc>
          <w:tcPr>
            <w:tcW w:w="6327" w:type="dxa"/>
            <w:vAlign w:val="center"/>
          </w:tcPr>
          <w:p w14:paraId="319ABCB3" w14:textId="77777777" w:rsidR="00303437" w:rsidRPr="00FE7F77" w:rsidRDefault="00303437" w:rsidP="00303437">
            <w:pPr>
              <w:pStyle w:val="ListParagraph"/>
              <w:numPr>
                <w:ilvl w:val="0"/>
                <w:numId w:val="11"/>
              </w:numPr>
              <w:ind w:left="317" w:hanging="317"/>
              <w:jc w:val="both"/>
              <w:rPr>
                <w:sz w:val="20"/>
                <w:szCs w:val="20"/>
              </w:rPr>
            </w:pPr>
            <w:r w:rsidRPr="00FE7F77">
              <w:rPr>
                <w:sz w:val="20"/>
                <w:szCs w:val="20"/>
              </w:rPr>
              <w:t>Local Policing Performance.</w:t>
            </w:r>
          </w:p>
          <w:p w14:paraId="1845E084" w14:textId="77777777" w:rsidR="00303437" w:rsidRPr="00FE7F77" w:rsidRDefault="00303437" w:rsidP="00303437">
            <w:pPr>
              <w:pStyle w:val="ListParagraph"/>
              <w:numPr>
                <w:ilvl w:val="0"/>
                <w:numId w:val="11"/>
              </w:numPr>
              <w:ind w:left="317" w:hanging="317"/>
              <w:jc w:val="both"/>
              <w:rPr>
                <w:sz w:val="20"/>
                <w:szCs w:val="20"/>
              </w:rPr>
            </w:pPr>
            <w:r w:rsidRPr="00FE7F77">
              <w:rPr>
                <w:sz w:val="20"/>
                <w:szCs w:val="20"/>
              </w:rPr>
              <w:t>Protective Services Performance.</w:t>
            </w:r>
          </w:p>
          <w:p w14:paraId="4BC2F85A" w14:textId="77777777" w:rsidR="00303437" w:rsidRPr="00FE7F77" w:rsidRDefault="00303437" w:rsidP="002655BD">
            <w:pPr>
              <w:pStyle w:val="ListParagraph"/>
              <w:numPr>
                <w:ilvl w:val="0"/>
                <w:numId w:val="11"/>
              </w:numPr>
              <w:ind w:left="317" w:hanging="317"/>
              <w:jc w:val="both"/>
              <w:rPr>
                <w:sz w:val="20"/>
                <w:szCs w:val="20"/>
              </w:rPr>
            </w:pPr>
            <w:r w:rsidRPr="00FE7F77">
              <w:rPr>
                <w:sz w:val="20"/>
                <w:szCs w:val="20"/>
              </w:rPr>
              <w:t>Professional Services Performance.</w:t>
            </w:r>
          </w:p>
          <w:p w14:paraId="11BE6AB7" w14:textId="77777777" w:rsidR="00303437" w:rsidRPr="00FE7F77" w:rsidRDefault="00303437" w:rsidP="00303437">
            <w:pPr>
              <w:pStyle w:val="ListParagraph"/>
              <w:numPr>
                <w:ilvl w:val="0"/>
                <w:numId w:val="11"/>
              </w:numPr>
              <w:ind w:left="317" w:hanging="317"/>
              <w:jc w:val="both"/>
              <w:rPr>
                <w:sz w:val="20"/>
                <w:szCs w:val="20"/>
              </w:rPr>
            </w:pPr>
            <w:r w:rsidRPr="00FE7F77">
              <w:rPr>
                <w:sz w:val="20"/>
                <w:szCs w:val="20"/>
              </w:rPr>
              <w:t>Deep Dive Topic</w:t>
            </w:r>
          </w:p>
          <w:p w14:paraId="5110B609" w14:textId="77777777" w:rsidR="00303437" w:rsidRPr="00FE7F77" w:rsidRDefault="00303437" w:rsidP="00303437">
            <w:pPr>
              <w:pStyle w:val="ListParagraph"/>
              <w:numPr>
                <w:ilvl w:val="0"/>
                <w:numId w:val="11"/>
              </w:numPr>
              <w:ind w:left="317" w:hanging="317"/>
              <w:jc w:val="both"/>
              <w:rPr>
                <w:sz w:val="20"/>
                <w:szCs w:val="20"/>
              </w:rPr>
            </w:pPr>
            <w:r w:rsidRPr="00FE7F77">
              <w:rPr>
                <w:sz w:val="20"/>
                <w:szCs w:val="20"/>
              </w:rPr>
              <w:t>HMICFRS</w:t>
            </w:r>
          </w:p>
          <w:p w14:paraId="09246305" w14:textId="77777777" w:rsidR="00303437" w:rsidRPr="00FE7F77" w:rsidRDefault="00303437" w:rsidP="00303437">
            <w:pPr>
              <w:pStyle w:val="ListParagraph"/>
              <w:numPr>
                <w:ilvl w:val="0"/>
                <w:numId w:val="11"/>
              </w:numPr>
              <w:ind w:left="317" w:hanging="317"/>
              <w:jc w:val="both"/>
              <w:rPr>
                <w:sz w:val="20"/>
                <w:szCs w:val="20"/>
              </w:rPr>
            </w:pPr>
            <w:r w:rsidRPr="00FE7F77">
              <w:rPr>
                <w:sz w:val="20"/>
                <w:szCs w:val="20"/>
              </w:rPr>
              <w:t>Police and Crime Panel</w:t>
            </w:r>
          </w:p>
          <w:p w14:paraId="53F771EF" w14:textId="77777777" w:rsidR="00303437" w:rsidRPr="00FE7F77" w:rsidRDefault="00303437" w:rsidP="00303437">
            <w:pPr>
              <w:pStyle w:val="ListParagraph"/>
              <w:numPr>
                <w:ilvl w:val="0"/>
                <w:numId w:val="11"/>
              </w:numPr>
              <w:ind w:left="317" w:hanging="317"/>
              <w:jc w:val="both"/>
              <w:rPr>
                <w:sz w:val="20"/>
                <w:szCs w:val="20"/>
              </w:rPr>
            </w:pPr>
            <w:r w:rsidRPr="00FE7F77">
              <w:rPr>
                <w:sz w:val="20"/>
                <w:szCs w:val="20"/>
              </w:rPr>
              <w:t>AOB.</w:t>
            </w:r>
          </w:p>
        </w:tc>
      </w:tr>
      <w:tr w:rsidR="00303437" w:rsidRPr="00FE7F77" w14:paraId="540C1291" w14:textId="77777777" w:rsidTr="006B7305">
        <w:trPr>
          <w:trHeight w:val="567"/>
        </w:trPr>
        <w:tc>
          <w:tcPr>
            <w:tcW w:w="2689" w:type="dxa"/>
            <w:vAlign w:val="center"/>
          </w:tcPr>
          <w:p w14:paraId="2193919C" w14:textId="77777777" w:rsidR="00303437" w:rsidRPr="00FE7F77" w:rsidRDefault="00303437" w:rsidP="006B7305">
            <w:pPr>
              <w:jc w:val="center"/>
              <w:rPr>
                <w:b/>
                <w:sz w:val="20"/>
                <w:szCs w:val="20"/>
              </w:rPr>
            </w:pPr>
            <w:r w:rsidRPr="00FE7F77">
              <w:rPr>
                <w:b/>
                <w:sz w:val="20"/>
                <w:szCs w:val="20"/>
              </w:rPr>
              <w:lastRenderedPageBreak/>
              <w:t>Meeting Support</w:t>
            </w:r>
          </w:p>
        </w:tc>
        <w:tc>
          <w:tcPr>
            <w:tcW w:w="6327" w:type="dxa"/>
            <w:vAlign w:val="center"/>
          </w:tcPr>
          <w:p w14:paraId="3545DBC0" w14:textId="77777777" w:rsidR="00303437" w:rsidRPr="00FE7F77" w:rsidRDefault="00303437" w:rsidP="006B7305">
            <w:pPr>
              <w:jc w:val="both"/>
              <w:rPr>
                <w:sz w:val="20"/>
                <w:szCs w:val="20"/>
              </w:rPr>
            </w:pPr>
            <w:r w:rsidRPr="00FE7F77">
              <w:rPr>
                <w:sz w:val="20"/>
                <w:szCs w:val="20"/>
              </w:rPr>
              <w:t>OPCC Secretariat.</w:t>
            </w:r>
          </w:p>
        </w:tc>
      </w:tr>
    </w:tbl>
    <w:p w14:paraId="6E3118E5" w14:textId="77777777" w:rsidR="00303437" w:rsidRPr="00FE7F77" w:rsidRDefault="00303437" w:rsidP="00303437">
      <w:pPr>
        <w:jc w:val="center"/>
        <w:rPr>
          <w:b/>
          <w:sz w:val="20"/>
          <w:szCs w:val="20"/>
          <w:u w:val="single"/>
        </w:rPr>
      </w:pPr>
    </w:p>
    <w:p w14:paraId="6C94E952" w14:textId="77777777" w:rsidR="00303437" w:rsidRPr="00FE7F77" w:rsidRDefault="00303437" w:rsidP="00303437">
      <w:pPr>
        <w:jc w:val="center"/>
        <w:rPr>
          <w:rFonts w:ascii="Arial" w:hAnsi="Arial" w:cs="Arial"/>
          <w:b/>
          <w:sz w:val="20"/>
          <w:szCs w:val="20"/>
          <w:u w:val="single"/>
        </w:rPr>
      </w:pPr>
      <w:r w:rsidRPr="00FE7F77">
        <w:rPr>
          <w:rFonts w:ascii="Arial" w:hAnsi="Arial" w:cs="Arial"/>
          <w:b/>
          <w:sz w:val="20"/>
          <w:szCs w:val="20"/>
          <w:u w:val="single"/>
        </w:rPr>
        <w:t>APPENDIX A</w:t>
      </w:r>
    </w:p>
    <w:p w14:paraId="27C7F0CB" w14:textId="77777777" w:rsidR="00303437" w:rsidRPr="00FE7F77" w:rsidRDefault="00303437" w:rsidP="00303437">
      <w:pPr>
        <w:spacing w:before="120" w:after="120"/>
        <w:jc w:val="both"/>
        <w:rPr>
          <w:rFonts w:ascii="Arial" w:hAnsi="Arial" w:cs="Arial"/>
          <w:sz w:val="20"/>
          <w:szCs w:val="20"/>
        </w:rPr>
      </w:pPr>
      <w:r w:rsidRPr="00FE7F77">
        <w:rPr>
          <w:rFonts w:ascii="Arial" w:hAnsi="Arial" w:cs="Arial"/>
          <w:sz w:val="20"/>
          <w:szCs w:val="20"/>
        </w:rPr>
        <w:t>The Police Reform and Social Responsibility Act 2011 (PRSRA) places a statutory duty and electoral mandate on the PCC to hold the CC to account for policing services on behalf of the public.</w:t>
      </w:r>
    </w:p>
    <w:p w14:paraId="3C6D54EB" w14:textId="77777777" w:rsidR="00303437" w:rsidRPr="00FE7F77" w:rsidRDefault="00303437" w:rsidP="00303437">
      <w:pPr>
        <w:spacing w:before="120" w:after="120"/>
        <w:jc w:val="both"/>
        <w:rPr>
          <w:rFonts w:ascii="Arial" w:hAnsi="Arial" w:cs="Arial"/>
          <w:sz w:val="20"/>
          <w:szCs w:val="20"/>
        </w:rPr>
      </w:pPr>
      <w:r w:rsidRPr="00FE7F77">
        <w:rPr>
          <w:rFonts w:ascii="Arial" w:hAnsi="Arial" w:cs="Arial"/>
          <w:sz w:val="20"/>
          <w:szCs w:val="20"/>
        </w:rPr>
        <w:t>The Policing Protocol 2011 details the PCC’s legal responsibilities to: -</w:t>
      </w:r>
    </w:p>
    <w:p w14:paraId="495F858D" w14:textId="77777777" w:rsidR="00303437" w:rsidRPr="00FE7F77" w:rsidRDefault="00303437" w:rsidP="00303437">
      <w:pPr>
        <w:numPr>
          <w:ilvl w:val="0"/>
          <w:numId w:val="7"/>
        </w:numPr>
        <w:spacing w:before="120" w:after="120" w:line="240" w:lineRule="auto"/>
        <w:ind w:left="709" w:hanging="425"/>
        <w:jc w:val="both"/>
        <w:rPr>
          <w:rFonts w:ascii="Arial" w:hAnsi="Arial" w:cs="Arial"/>
          <w:sz w:val="20"/>
          <w:szCs w:val="20"/>
        </w:rPr>
      </w:pPr>
      <w:r w:rsidRPr="00FE7F77">
        <w:rPr>
          <w:rFonts w:ascii="Arial" w:hAnsi="Arial" w:cs="Arial"/>
          <w:sz w:val="20"/>
          <w:szCs w:val="20"/>
        </w:rPr>
        <w:t xml:space="preserve">Scrutinise, support and challenge the overall performance of the Force including against the priorities agreed within the </w:t>
      </w:r>
      <w:r w:rsidRPr="00FE7F77">
        <w:rPr>
          <w:rFonts w:ascii="Arial" w:hAnsi="Arial" w:cs="Arial"/>
          <w:b/>
          <w:sz w:val="20"/>
          <w:szCs w:val="20"/>
        </w:rPr>
        <w:t>Police and Crime Plan</w:t>
      </w:r>
      <w:r w:rsidRPr="00FE7F77">
        <w:rPr>
          <w:rFonts w:ascii="Arial" w:hAnsi="Arial" w:cs="Arial"/>
          <w:sz w:val="20"/>
          <w:szCs w:val="20"/>
        </w:rPr>
        <w:t xml:space="preserve"> (P&amp;CP).</w:t>
      </w:r>
    </w:p>
    <w:p w14:paraId="70934551" w14:textId="77777777" w:rsidR="00303437" w:rsidRPr="00FE7F77" w:rsidRDefault="00303437" w:rsidP="00303437">
      <w:pPr>
        <w:numPr>
          <w:ilvl w:val="0"/>
          <w:numId w:val="7"/>
        </w:numPr>
        <w:spacing w:before="120" w:after="120" w:line="240" w:lineRule="auto"/>
        <w:ind w:left="709" w:hanging="425"/>
        <w:jc w:val="both"/>
        <w:rPr>
          <w:rFonts w:ascii="Arial" w:hAnsi="Arial" w:cs="Arial"/>
          <w:sz w:val="20"/>
          <w:szCs w:val="20"/>
        </w:rPr>
      </w:pPr>
      <w:r w:rsidRPr="00FE7F77">
        <w:rPr>
          <w:rFonts w:ascii="Arial" w:hAnsi="Arial" w:cs="Arial"/>
          <w:sz w:val="20"/>
          <w:szCs w:val="20"/>
        </w:rPr>
        <w:t xml:space="preserve">Hold the CC to account for the </w:t>
      </w:r>
      <w:r w:rsidRPr="00FE7F77">
        <w:rPr>
          <w:rFonts w:ascii="Arial" w:hAnsi="Arial" w:cs="Arial"/>
          <w:b/>
          <w:sz w:val="20"/>
          <w:szCs w:val="20"/>
        </w:rPr>
        <w:t>performance</w:t>
      </w:r>
      <w:r w:rsidRPr="00FE7F77">
        <w:rPr>
          <w:rFonts w:ascii="Arial" w:hAnsi="Arial" w:cs="Arial"/>
          <w:sz w:val="20"/>
          <w:szCs w:val="20"/>
        </w:rPr>
        <w:t xml:space="preserve"> of the force’s officers and staff</w:t>
      </w:r>
    </w:p>
    <w:p w14:paraId="5CD71F1F" w14:textId="77777777" w:rsidR="00303437" w:rsidRPr="00FE7F77" w:rsidRDefault="00303437" w:rsidP="00303437">
      <w:pPr>
        <w:numPr>
          <w:ilvl w:val="0"/>
          <w:numId w:val="7"/>
        </w:numPr>
        <w:spacing w:before="120" w:after="120" w:line="240" w:lineRule="auto"/>
        <w:ind w:left="709" w:hanging="425"/>
        <w:jc w:val="both"/>
        <w:rPr>
          <w:rFonts w:ascii="Arial" w:hAnsi="Arial" w:cs="Arial"/>
          <w:sz w:val="20"/>
          <w:szCs w:val="20"/>
        </w:rPr>
      </w:pPr>
      <w:r w:rsidRPr="00FE7F77">
        <w:rPr>
          <w:rFonts w:ascii="Arial" w:hAnsi="Arial" w:cs="Arial"/>
          <w:sz w:val="20"/>
          <w:szCs w:val="20"/>
        </w:rPr>
        <w:t xml:space="preserve">Maintain an </w:t>
      </w:r>
      <w:r w:rsidRPr="00FE7F77">
        <w:rPr>
          <w:rFonts w:ascii="Arial" w:hAnsi="Arial" w:cs="Arial"/>
          <w:b/>
          <w:sz w:val="20"/>
          <w:szCs w:val="20"/>
        </w:rPr>
        <w:t>efficient and effective</w:t>
      </w:r>
      <w:r w:rsidRPr="00FE7F77">
        <w:rPr>
          <w:rFonts w:ascii="Arial" w:hAnsi="Arial" w:cs="Arial"/>
          <w:sz w:val="20"/>
          <w:szCs w:val="20"/>
        </w:rPr>
        <w:t xml:space="preserve"> police force for the area.</w:t>
      </w:r>
    </w:p>
    <w:p w14:paraId="43D1DB47" w14:textId="77777777" w:rsidR="00303437" w:rsidRPr="00FE7F77" w:rsidRDefault="00303437" w:rsidP="00303437">
      <w:pPr>
        <w:numPr>
          <w:ilvl w:val="0"/>
          <w:numId w:val="7"/>
        </w:numPr>
        <w:spacing w:before="120" w:after="120" w:line="240" w:lineRule="auto"/>
        <w:ind w:left="709" w:hanging="425"/>
        <w:jc w:val="both"/>
        <w:rPr>
          <w:rFonts w:ascii="Arial" w:hAnsi="Arial" w:cs="Arial"/>
          <w:sz w:val="20"/>
          <w:szCs w:val="20"/>
        </w:rPr>
      </w:pPr>
      <w:r w:rsidRPr="00FE7F77">
        <w:rPr>
          <w:rFonts w:ascii="Arial" w:hAnsi="Arial" w:cs="Arial"/>
          <w:sz w:val="20"/>
          <w:szCs w:val="20"/>
        </w:rPr>
        <w:t xml:space="preserve">Hold the CC to account for the </w:t>
      </w:r>
      <w:r w:rsidRPr="00FE7F77">
        <w:rPr>
          <w:rFonts w:ascii="Arial" w:hAnsi="Arial" w:cs="Arial"/>
          <w:b/>
          <w:sz w:val="20"/>
          <w:szCs w:val="20"/>
        </w:rPr>
        <w:t>exercise of the functions of the office</w:t>
      </w:r>
      <w:r w:rsidRPr="00FE7F77">
        <w:rPr>
          <w:rFonts w:ascii="Arial" w:hAnsi="Arial" w:cs="Arial"/>
          <w:sz w:val="20"/>
          <w:szCs w:val="20"/>
        </w:rPr>
        <w:t xml:space="preserve"> of CC and the functions of the persons under the direction and control of the CC.</w:t>
      </w:r>
    </w:p>
    <w:p w14:paraId="64D605A9" w14:textId="77777777" w:rsidR="00303437" w:rsidRPr="00FE7F77" w:rsidRDefault="00303437" w:rsidP="00303437">
      <w:pPr>
        <w:spacing w:before="120" w:after="120"/>
        <w:jc w:val="both"/>
        <w:rPr>
          <w:rFonts w:ascii="Arial" w:hAnsi="Arial" w:cs="Arial"/>
          <w:sz w:val="20"/>
          <w:szCs w:val="20"/>
        </w:rPr>
      </w:pPr>
      <w:r w:rsidRPr="00FE7F77">
        <w:rPr>
          <w:rFonts w:ascii="Arial" w:hAnsi="Arial" w:cs="Arial"/>
          <w:sz w:val="20"/>
          <w:szCs w:val="20"/>
        </w:rPr>
        <w:t>Specifically, section 8 of the PRSRA states that the PCC must, in particular, hold the CC to account for the: -</w:t>
      </w:r>
    </w:p>
    <w:p w14:paraId="01A4208E" w14:textId="77777777" w:rsidR="00303437" w:rsidRPr="00FE7F77" w:rsidRDefault="00303437" w:rsidP="00303437">
      <w:pPr>
        <w:numPr>
          <w:ilvl w:val="0"/>
          <w:numId w:val="8"/>
        </w:numPr>
        <w:spacing w:before="120" w:after="120" w:line="240" w:lineRule="auto"/>
        <w:ind w:left="709" w:hanging="425"/>
        <w:jc w:val="both"/>
        <w:rPr>
          <w:rFonts w:ascii="Arial" w:hAnsi="Arial" w:cs="Arial"/>
          <w:sz w:val="20"/>
          <w:szCs w:val="20"/>
        </w:rPr>
      </w:pPr>
      <w:r w:rsidRPr="00FE7F77">
        <w:rPr>
          <w:rFonts w:ascii="Arial" w:hAnsi="Arial" w:cs="Arial"/>
          <w:sz w:val="20"/>
          <w:szCs w:val="20"/>
        </w:rPr>
        <w:t xml:space="preserve">Exercise of the duty to have regard to the </w:t>
      </w:r>
      <w:r w:rsidRPr="00FE7F77">
        <w:rPr>
          <w:rFonts w:ascii="Arial" w:hAnsi="Arial" w:cs="Arial"/>
          <w:b/>
          <w:sz w:val="20"/>
          <w:szCs w:val="20"/>
        </w:rPr>
        <w:t>P&amp;CP.</w:t>
      </w:r>
    </w:p>
    <w:p w14:paraId="10819A3E" w14:textId="77777777" w:rsidR="00303437" w:rsidRPr="00FE7F77" w:rsidRDefault="00303437" w:rsidP="00303437">
      <w:pPr>
        <w:numPr>
          <w:ilvl w:val="0"/>
          <w:numId w:val="8"/>
        </w:numPr>
        <w:spacing w:before="120" w:after="120" w:line="240" w:lineRule="auto"/>
        <w:ind w:left="709" w:hanging="425"/>
        <w:jc w:val="both"/>
        <w:rPr>
          <w:rFonts w:ascii="Arial" w:hAnsi="Arial" w:cs="Arial"/>
          <w:sz w:val="20"/>
          <w:szCs w:val="20"/>
        </w:rPr>
      </w:pPr>
      <w:r w:rsidRPr="00FE7F77">
        <w:rPr>
          <w:rFonts w:ascii="Arial" w:hAnsi="Arial" w:cs="Arial"/>
          <w:sz w:val="20"/>
          <w:szCs w:val="20"/>
        </w:rPr>
        <w:t xml:space="preserve">Exercise of the duty to have regard to the </w:t>
      </w:r>
      <w:r w:rsidRPr="00FE7F77">
        <w:rPr>
          <w:rFonts w:ascii="Arial" w:hAnsi="Arial" w:cs="Arial"/>
          <w:b/>
          <w:sz w:val="20"/>
          <w:szCs w:val="20"/>
        </w:rPr>
        <w:t>strategic policing requirement.</w:t>
      </w:r>
    </w:p>
    <w:p w14:paraId="5706E7E8" w14:textId="77777777" w:rsidR="00303437" w:rsidRPr="00FE7F77" w:rsidRDefault="00303437" w:rsidP="00303437">
      <w:pPr>
        <w:numPr>
          <w:ilvl w:val="0"/>
          <w:numId w:val="8"/>
        </w:numPr>
        <w:spacing w:before="120" w:after="120" w:line="240" w:lineRule="auto"/>
        <w:ind w:left="709" w:hanging="425"/>
        <w:jc w:val="both"/>
        <w:rPr>
          <w:rFonts w:ascii="Arial" w:hAnsi="Arial" w:cs="Arial"/>
          <w:sz w:val="20"/>
          <w:szCs w:val="20"/>
        </w:rPr>
      </w:pPr>
      <w:r w:rsidRPr="00FE7F77">
        <w:rPr>
          <w:rFonts w:ascii="Arial" w:hAnsi="Arial" w:cs="Arial"/>
          <w:sz w:val="20"/>
          <w:szCs w:val="20"/>
        </w:rPr>
        <w:t xml:space="preserve">Exercise of the duty to have regard to </w:t>
      </w:r>
      <w:r w:rsidRPr="00FE7F77">
        <w:rPr>
          <w:rFonts w:ascii="Arial" w:hAnsi="Arial" w:cs="Arial"/>
          <w:b/>
          <w:sz w:val="20"/>
          <w:szCs w:val="20"/>
        </w:rPr>
        <w:t>codes of practice</w:t>
      </w:r>
      <w:r w:rsidRPr="00FE7F77">
        <w:rPr>
          <w:rFonts w:ascii="Arial" w:hAnsi="Arial" w:cs="Arial"/>
          <w:sz w:val="20"/>
          <w:szCs w:val="20"/>
        </w:rPr>
        <w:t xml:space="preserve"> issued by Secretary of State</w:t>
      </w:r>
    </w:p>
    <w:p w14:paraId="3EFB9B24" w14:textId="77777777" w:rsidR="00303437" w:rsidRPr="00FE7F77" w:rsidRDefault="00303437" w:rsidP="00303437">
      <w:pPr>
        <w:numPr>
          <w:ilvl w:val="0"/>
          <w:numId w:val="8"/>
        </w:numPr>
        <w:spacing w:before="120" w:after="120" w:line="240" w:lineRule="auto"/>
        <w:ind w:left="709" w:hanging="425"/>
        <w:jc w:val="both"/>
        <w:rPr>
          <w:rFonts w:ascii="Arial" w:hAnsi="Arial" w:cs="Arial"/>
          <w:sz w:val="20"/>
          <w:szCs w:val="20"/>
        </w:rPr>
      </w:pPr>
      <w:r w:rsidRPr="00FE7F77">
        <w:rPr>
          <w:rFonts w:ascii="Arial" w:hAnsi="Arial" w:cs="Arial"/>
          <w:sz w:val="20"/>
          <w:szCs w:val="20"/>
        </w:rPr>
        <w:t xml:space="preserve">Effectiveness and efficiency of the CC’s arrangements for </w:t>
      </w:r>
      <w:r w:rsidRPr="00FE7F77">
        <w:rPr>
          <w:rFonts w:ascii="Arial" w:hAnsi="Arial" w:cs="Arial"/>
          <w:b/>
          <w:sz w:val="20"/>
          <w:szCs w:val="20"/>
        </w:rPr>
        <w:t>co-operating</w:t>
      </w:r>
      <w:r w:rsidRPr="00FE7F77">
        <w:rPr>
          <w:rFonts w:ascii="Arial" w:hAnsi="Arial" w:cs="Arial"/>
          <w:sz w:val="20"/>
          <w:szCs w:val="20"/>
        </w:rPr>
        <w:t xml:space="preserve"> with other persons in the exercise of the CC’s functions.</w:t>
      </w:r>
    </w:p>
    <w:p w14:paraId="557B8CCB" w14:textId="77777777" w:rsidR="00303437" w:rsidRPr="00FE7F77" w:rsidRDefault="00303437" w:rsidP="00303437">
      <w:pPr>
        <w:numPr>
          <w:ilvl w:val="0"/>
          <w:numId w:val="8"/>
        </w:numPr>
        <w:spacing w:before="120" w:after="120" w:line="240" w:lineRule="auto"/>
        <w:ind w:left="709" w:hanging="425"/>
        <w:jc w:val="both"/>
        <w:rPr>
          <w:rFonts w:ascii="Arial" w:hAnsi="Arial" w:cs="Arial"/>
          <w:sz w:val="20"/>
          <w:szCs w:val="20"/>
        </w:rPr>
      </w:pPr>
      <w:r w:rsidRPr="00FE7F77">
        <w:rPr>
          <w:rFonts w:ascii="Arial" w:hAnsi="Arial" w:cs="Arial"/>
          <w:sz w:val="20"/>
          <w:szCs w:val="20"/>
        </w:rPr>
        <w:t xml:space="preserve">Effectiveness and efficiency of the CC’s arrangements for </w:t>
      </w:r>
      <w:r w:rsidRPr="00FE7F77">
        <w:rPr>
          <w:rFonts w:ascii="Arial" w:hAnsi="Arial" w:cs="Arial"/>
          <w:b/>
          <w:sz w:val="20"/>
          <w:szCs w:val="20"/>
        </w:rPr>
        <w:t>engagement</w:t>
      </w:r>
      <w:r w:rsidRPr="00FE7F77">
        <w:rPr>
          <w:rFonts w:ascii="Arial" w:hAnsi="Arial" w:cs="Arial"/>
          <w:sz w:val="20"/>
          <w:szCs w:val="20"/>
        </w:rPr>
        <w:t xml:space="preserve"> with local people.</w:t>
      </w:r>
    </w:p>
    <w:p w14:paraId="7FD523FB" w14:textId="77777777" w:rsidR="00303437" w:rsidRPr="00FE7F77" w:rsidRDefault="00303437" w:rsidP="00303437">
      <w:pPr>
        <w:numPr>
          <w:ilvl w:val="0"/>
          <w:numId w:val="8"/>
        </w:numPr>
        <w:spacing w:before="120" w:after="120" w:line="240" w:lineRule="auto"/>
        <w:ind w:left="709" w:hanging="425"/>
        <w:jc w:val="both"/>
        <w:rPr>
          <w:rFonts w:ascii="Arial" w:hAnsi="Arial" w:cs="Arial"/>
          <w:sz w:val="20"/>
          <w:szCs w:val="20"/>
        </w:rPr>
      </w:pPr>
      <w:r w:rsidRPr="00FE7F77">
        <w:rPr>
          <w:rFonts w:ascii="Arial" w:hAnsi="Arial" w:cs="Arial"/>
          <w:sz w:val="20"/>
          <w:szCs w:val="20"/>
        </w:rPr>
        <w:t xml:space="preserve">Extent to which the CC has complied with </w:t>
      </w:r>
      <w:r w:rsidRPr="00FE7F77">
        <w:rPr>
          <w:rFonts w:ascii="Arial" w:hAnsi="Arial" w:cs="Arial"/>
          <w:b/>
          <w:sz w:val="20"/>
          <w:szCs w:val="20"/>
        </w:rPr>
        <w:t>value for money</w:t>
      </w:r>
    </w:p>
    <w:p w14:paraId="2ED24507" w14:textId="77777777" w:rsidR="00303437" w:rsidRPr="00FE7F77" w:rsidRDefault="00303437" w:rsidP="00303437">
      <w:pPr>
        <w:numPr>
          <w:ilvl w:val="0"/>
          <w:numId w:val="8"/>
        </w:numPr>
        <w:spacing w:before="120" w:after="120" w:line="240" w:lineRule="auto"/>
        <w:ind w:left="709" w:hanging="425"/>
        <w:jc w:val="both"/>
        <w:rPr>
          <w:rFonts w:ascii="Arial" w:hAnsi="Arial" w:cs="Arial"/>
          <w:sz w:val="20"/>
          <w:szCs w:val="20"/>
        </w:rPr>
      </w:pPr>
      <w:r w:rsidRPr="00FE7F77">
        <w:rPr>
          <w:rFonts w:ascii="Arial" w:hAnsi="Arial" w:cs="Arial"/>
          <w:sz w:val="20"/>
          <w:szCs w:val="20"/>
        </w:rPr>
        <w:t xml:space="preserve">Exercise of duties relating to </w:t>
      </w:r>
      <w:r w:rsidRPr="00FE7F77">
        <w:rPr>
          <w:rFonts w:ascii="Arial" w:hAnsi="Arial" w:cs="Arial"/>
          <w:b/>
          <w:sz w:val="20"/>
          <w:szCs w:val="20"/>
        </w:rPr>
        <w:t>equality and diversity</w:t>
      </w:r>
      <w:r w:rsidRPr="00FE7F77">
        <w:rPr>
          <w:rFonts w:ascii="Arial" w:hAnsi="Arial" w:cs="Arial"/>
          <w:sz w:val="20"/>
          <w:szCs w:val="20"/>
        </w:rPr>
        <w:t xml:space="preserve"> that are imposed on the CC by any enactment.</w:t>
      </w:r>
    </w:p>
    <w:p w14:paraId="53AEE64C" w14:textId="77777777" w:rsidR="00303437" w:rsidRPr="00FE7F77" w:rsidRDefault="00303437" w:rsidP="00303437">
      <w:pPr>
        <w:numPr>
          <w:ilvl w:val="0"/>
          <w:numId w:val="8"/>
        </w:numPr>
        <w:spacing w:before="120" w:after="120" w:line="240" w:lineRule="auto"/>
        <w:ind w:left="709" w:hanging="425"/>
        <w:jc w:val="both"/>
        <w:rPr>
          <w:rFonts w:ascii="Arial" w:hAnsi="Arial" w:cs="Arial"/>
          <w:sz w:val="20"/>
          <w:szCs w:val="20"/>
        </w:rPr>
      </w:pPr>
      <w:r w:rsidRPr="00FE7F77">
        <w:rPr>
          <w:rFonts w:ascii="Arial" w:hAnsi="Arial" w:cs="Arial"/>
          <w:sz w:val="20"/>
          <w:szCs w:val="20"/>
        </w:rPr>
        <w:t xml:space="preserve">Exercise of duties in relation to the </w:t>
      </w:r>
      <w:r w:rsidRPr="00FE7F77">
        <w:rPr>
          <w:rFonts w:ascii="Arial" w:hAnsi="Arial" w:cs="Arial"/>
          <w:b/>
          <w:sz w:val="20"/>
          <w:szCs w:val="20"/>
        </w:rPr>
        <w:t>safeguarding of children</w:t>
      </w:r>
      <w:r w:rsidRPr="00FE7F77">
        <w:rPr>
          <w:rFonts w:ascii="Arial" w:hAnsi="Arial" w:cs="Arial"/>
          <w:sz w:val="20"/>
          <w:szCs w:val="20"/>
        </w:rPr>
        <w:t xml:space="preserve"> and the promotion of child welfare that are imposed.</w:t>
      </w:r>
    </w:p>
    <w:p w14:paraId="2E717FBE" w14:textId="47A75927" w:rsidR="002655BD" w:rsidRPr="00FE7F77" w:rsidRDefault="00303437" w:rsidP="00303437">
      <w:pPr>
        <w:spacing w:before="120" w:after="120"/>
        <w:jc w:val="both"/>
        <w:rPr>
          <w:rFonts w:ascii="Arial" w:hAnsi="Arial" w:cs="Arial"/>
          <w:sz w:val="20"/>
          <w:szCs w:val="20"/>
        </w:rPr>
      </w:pPr>
      <w:r w:rsidRPr="00FE7F77">
        <w:rPr>
          <w:rFonts w:ascii="Arial" w:hAnsi="Arial" w:cs="Arial"/>
          <w:sz w:val="20"/>
          <w:szCs w:val="20"/>
        </w:rPr>
        <w:t xml:space="preserve">In addition, section 1(8)(ca) of the Police Reform Act 2002 (inserted by the Policing and Crime Act 2017) provides that the PCC must hold the CC to account for the exercise of the CC’s functions in the </w:t>
      </w:r>
      <w:r w:rsidRPr="00FE7F77">
        <w:rPr>
          <w:rFonts w:ascii="Arial" w:hAnsi="Arial" w:cs="Arial"/>
          <w:b/>
          <w:sz w:val="20"/>
          <w:szCs w:val="20"/>
        </w:rPr>
        <w:t>handling of police complaints.</w:t>
      </w:r>
    </w:p>
    <w:p w14:paraId="7C3FD3BF" w14:textId="77777777" w:rsidR="00303437" w:rsidRPr="00FE7F77" w:rsidRDefault="00303437" w:rsidP="00303437">
      <w:pPr>
        <w:spacing w:before="120" w:after="120"/>
        <w:jc w:val="both"/>
        <w:rPr>
          <w:rFonts w:ascii="Arial" w:hAnsi="Arial" w:cs="Arial"/>
          <w:sz w:val="20"/>
          <w:szCs w:val="20"/>
        </w:rPr>
      </w:pPr>
      <w:r w:rsidRPr="00FE7F77">
        <w:rPr>
          <w:rFonts w:ascii="Arial" w:hAnsi="Arial" w:cs="Arial"/>
          <w:sz w:val="20"/>
          <w:szCs w:val="20"/>
        </w:rPr>
        <w:t>There is no legal definition of holding to account, or statutory or other guidance on what those arrangements should look like.  The Centre for Public Scrutiny advocates four principles for effective holding to account arrangements: -</w:t>
      </w:r>
    </w:p>
    <w:p w14:paraId="37AB325C" w14:textId="77777777" w:rsidR="00303437" w:rsidRPr="00FE7F77" w:rsidRDefault="00303437" w:rsidP="00303437">
      <w:pPr>
        <w:numPr>
          <w:ilvl w:val="0"/>
          <w:numId w:val="9"/>
        </w:numPr>
        <w:spacing w:before="120" w:after="120" w:line="240" w:lineRule="auto"/>
        <w:ind w:left="568" w:hanging="284"/>
        <w:jc w:val="both"/>
        <w:rPr>
          <w:rFonts w:ascii="Arial" w:eastAsia="Lucida Sans Unicode" w:hAnsi="Arial" w:cs="Arial"/>
          <w:sz w:val="20"/>
          <w:szCs w:val="20"/>
        </w:rPr>
      </w:pPr>
      <w:r w:rsidRPr="00FE7F77">
        <w:rPr>
          <w:rFonts w:ascii="Arial" w:eastAsia="Lucida Sans Unicode" w:hAnsi="Arial" w:cs="Arial"/>
          <w:sz w:val="20"/>
          <w:szCs w:val="20"/>
        </w:rPr>
        <w:t>Provides a constructive ‘critical friend’ challenge.</w:t>
      </w:r>
    </w:p>
    <w:p w14:paraId="3DB7C385" w14:textId="77777777" w:rsidR="00303437" w:rsidRPr="00FE7F77" w:rsidRDefault="00303437" w:rsidP="00303437">
      <w:pPr>
        <w:numPr>
          <w:ilvl w:val="0"/>
          <w:numId w:val="9"/>
        </w:numPr>
        <w:spacing w:before="120" w:after="120" w:line="240" w:lineRule="auto"/>
        <w:ind w:left="568" w:hanging="284"/>
        <w:jc w:val="both"/>
        <w:rPr>
          <w:rFonts w:ascii="Arial" w:eastAsia="Lucida Sans Unicode" w:hAnsi="Arial" w:cs="Arial"/>
          <w:sz w:val="20"/>
          <w:szCs w:val="20"/>
        </w:rPr>
      </w:pPr>
      <w:r w:rsidRPr="00FE7F77">
        <w:rPr>
          <w:rFonts w:ascii="Arial" w:eastAsia="Lucida Sans Unicode" w:hAnsi="Arial" w:cs="Arial"/>
          <w:sz w:val="20"/>
          <w:szCs w:val="20"/>
        </w:rPr>
        <w:t>Amplifies the voices and concerns of the public.</w:t>
      </w:r>
    </w:p>
    <w:p w14:paraId="4DD4A5D3" w14:textId="77777777" w:rsidR="00303437" w:rsidRPr="00FE7F77" w:rsidRDefault="00303437" w:rsidP="00303437">
      <w:pPr>
        <w:numPr>
          <w:ilvl w:val="0"/>
          <w:numId w:val="9"/>
        </w:numPr>
        <w:spacing w:before="120" w:after="120" w:line="240" w:lineRule="auto"/>
        <w:ind w:left="568" w:hanging="284"/>
        <w:jc w:val="both"/>
        <w:rPr>
          <w:rFonts w:ascii="Arial" w:eastAsia="Lucida Sans Unicode" w:hAnsi="Arial" w:cs="Arial"/>
          <w:sz w:val="20"/>
          <w:szCs w:val="20"/>
        </w:rPr>
      </w:pPr>
      <w:r w:rsidRPr="00FE7F77">
        <w:rPr>
          <w:rFonts w:ascii="Arial" w:eastAsia="Lucida Sans Unicode" w:hAnsi="Arial" w:cs="Arial"/>
          <w:sz w:val="20"/>
          <w:szCs w:val="20"/>
        </w:rPr>
        <w:t>Is led by independent people who take responsibility for their role.</w:t>
      </w:r>
    </w:p>
    <w:p w14:paraId="71EA67B1" w14:textId="77777777" w:rsidR="00303437" w:rsidRPr="00FE7F77" w:rsidRDefault="00303437" w:rsidP="00303437">
      <w:pPr>
        <w:numPr>
          <w:ilvl w:val="0"/>
          <w:numId w:val="9"/>
        </w:numPr>
        <w:spacing w:before="120" w:after="120" w:line="240" w:lineRule="auto"/>
        <w:ind w:left="568" w:hanging="284"/>
        <w:jc w:val="both"/>
        <w:rPr>
          <w:rFonts w:ascii="Arial" w:hAnsi="Arial" w:cs="Arial"/>
          <w:sz w:val="20"/>
          <w:szCs w:val="20"/>
        </w:rPr>
      </w:pPr>
      <w:r w:rsidRPr="00FE7F77">
        <w:rPr>
          <w:rFonts w:ascii="Arial" w:eastAsia="Lucida Sans Unicode" w:hAnsi="Arial" w:cs="Arial"/>
          <w:sz w:val="20"/>
          <w:szCs w:val="20"/>
        </w:rPr>
        <w:t xml:space="preserve">Drives improvement in public services. </w:t>
      </w:r>
    </w:p>
    <w:p w14:paraId="56DE5EA5" w14:textId="21A3EDA9" w:rsidR="00303437" w:rsidRDefault="00303437">
      <w:pPr>
        <w:rPr>
          <w:b/>
          <w:bCs/>
          <w:color w:val="000000"/>
        </w:rPr>
      </w:pPr>
      <w:r>
        <w:rPr>
          <w:b/>
          <w:bCs/>
          <w:color w:val="000000"/>
        </w:rPr>
        <w:br w:type="page"/>
      </w:r>
    </w:p>
    <w:p w14:paraId="62E05EAB" w14:textId="77777777" w:rsidR="00303437" w:rsidRPr="006A57C8" w:rsidRDefault="00303437" w:rsidP="00303437">
      <w:pPr>
        <w:spacing w:after="0"/>
        <w:jc w:val="right"/>
        <w:rPr>
          <w:b/>
          <w:sz w:val="28"/>
          <w:szCs w:val="28"/>
        </w:rPr>
      </w:pPr>
      <w:r>
        <w:rPr>
          <w:b/>
          <w:sz w:val="28"/>
          <w:szCs w:val="28"/>
        </w:rPr>
        <w:lastRenderedPageBreak/>
        <w:t>Appendix B</w:t>
      </w:r>
    </w:p>
    <w:p w14:paraId="677E814D" w14:textId="6E4DB0E1" w:rsidR="00303437" w:rsidRPr="00FE7F77" w:rsidRDefault="00303437" w:rsidP="002655BD">
      <w:pPr>
        <w:jc w:val="center"/>
        <w:rPr>
          <w:b/>
          <w:bCs/>
          <w:color w:val="000000"/>
          <w:sz w:val="20"/>
          <w:szCs w:val="20"/>
        </w:rPr>
      </w:pPr>
      <w:r w:rsidRPr="00FE7F77">
        <w:rPr>
          <w:noProof/>
          <w:sz w:val="20"/>
          <w:szCs w:val="20"/>
          <w:lang w:eastAsia="en-GB"/>
        </w:rPr>
        <w:drawing>
          <wp:inline distT="0" distB="0" distL="0" distR="0" wp14:anchorId="3FF2062A" wp14:editId="42E3447C">
            <wp:extent cx="2277374" cy="9225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C-New-Logo-May2017-Small.png"/>
                    <pic:cNvPicPr/>
                  </pic:nvPicPr>
                  <pic:blipFill>
                    <a:blip r:embed="rId11">
                      <a:extLst>
                        <a:ext uri="{28A0092B-C50C-407E-A947-70E740481C1C}">
                          <a14:useLocalDpi xmlns:a14="http://schemas.microsoft.com/office/drawing/2010/main" val="0"/>
                        </a:ext>
                      </a:extLst>
                    </a:blip>
                    <a:stretch>
                      <a:fillRect/>
                    </a:stretch>
                  </pic:blipFill>
                  <pic:spPr>
                    <a:xfrm>
                      <a:off x="0" y="0"/>
                      <a:ext cx="2292063" cy="928537"/>
                    </a:xfrm>
                    <a:prstGeom prst="rect">
                      <a:avLst/>
                    </a:prstGeom>
                  </pic:spPr>
                </pic:pic>
              </a:graphicData>
            </a:graphic>
          </wp:inline>
        </w:drawing>
      </w:r>
    </w:p>
    <w:p w14:paraId="1AA5F926" w14:textId="77777777" w:rsidR="00303437" w:rsidRPr="00FE7F77" w:rsidRDefault="00303437" w:rsidP="00303437">
      <w:pPr>
        <w:spacing w:after="0" w:line="120" w:lineRule="auto"/>
        <w:jc w:val="center"/>
        <w:rPr>
          <w:rFonts w:ascii="Arial" w:hAnsi="Arial" w:cs="Arial"/>
          <w:b/>
          <w:sz w:val="20"/>
          <w:szCs w:val="20"/>
          <w:u w:val="single"/>
        </w:rPr>
      </w:pPr>
      <w:r w:rsidRPr="00FE7F77">
        <w:rPr>
          <w:rFonts w:ascii="Arial" w:hAnsi="Arial" w:cs="Arial"/>
          <w:b/>
          <w:noProof/>
          <w:sz w:val="20"/>
          <w:szCs w:val="20"/>
          <w:u w:val="single"/>
          <w:lang w:eastAsia="en-GB"/>
        </w:rPr>
        <mc:AlternateContent>
          <mc:Choice Requires="wps">
            <w:drawing>
              <wp:anchor distT="45720" distB="45720" distL="114300" distR="114300" simplePos="0" relativeHeight="251665408" behindDoc="0" locked="0" layoutInCell="1" allowOverlap="1" wp14:anchorId="7AD4DB95" wp14:editId="52F8EEDF">
                <wp:simplePos x="0" y="0"/>
                <wp:positionH relativeFrom="column">
                  <wp:posOffset>-28575</wp:posOffset>
                </wp:positionH>
                <wp:positionV relativeFrom="paragraph">
                  <wp:posOffset>98425</wp:posOffset>
                </wp:positionV>
                <wp:extent cx="5695950" cy="3524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52425"/>
                        </a:xfrm>
                        <a:prstGeom prst="rect">
                          <a:avLst/>
                        </a:prstGeom>
                        <a:solidFill>
                          <a:schemeClr val="accent1">
                            <a:lumMod val="40000"/>
                            <a:lumOff val="60000"/>
                          </a:schemeClr>
                        </a:solidFill>
                        <a:ln w="9525">
                          <a:solidFill>
                            <a:srgbClr val="000000"/>
                          </a:solidFill>
                          <a:miter lim="800000"/>
                          <a:headEnd/>
                          <a:tailEnd/>
                        </a:ln>
                      </wps:spPr>
                      <wps:txbx>
                        <w:txbxContent>
                          <w:p w14:paraId="49932D91" w14:textId="77777777" w:rsidR="00303437" w:rsidRPr="003D4265" w:rsidRDefault="00303437" w:rsidP="00303437">
                            <w:pPr>
                              <w:spacing w:after="0"/>
                              <w:jc w:val="center"/>
                              <w:rPr>
                                <w:rFonts w:ascii="Arial" w:hAnsi="Arial" w:cs="Arial"/>
                              </w:rPr>
                            </w:pPr>
                            <w:r w:rsidRPr="003D4265">
                              <w:rPr>
                                <w:rFonts w:ascii="Arial" w:hAnsi="Arial" w:cs="Arial"/>
                                <w:b/>
                                <w:sz w:val="28"/>
                                <w:szCs w:val="28"/>
                              </w:rPr>
                              <w:t>TERMS OF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4DB95" id="_x0000_s1029" type="#_x0000_t202" style="position:absolute;left:0;text-align:left;margin-left:-2.25pt;margin-top:7.75pt;width:448.5pt;height:2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oRwIAAIkEAAAOAAAAZHJzL2Uyb0RvYy54bWysVNtu2zAMfR+wfxD0vjhJ47Qx4hRdug4D&#10;ugvQ7gMYWY6FSaInKbGzry8lJ1m2vg3zgyCR0uEhD+nlbW8020vnFdqST0ZjzqQVWCm7Lfn354d3&#10;N5z5ALYCjVaW/CA9v129fbPs2kJOsUFdSccIxPqia0vehNAWWeZFIw34EbbSkrNGZyDQ0W2zykFH&#10;6EZn0/F4nnXoqtahkN6T9X5w8lXCr2spwte69jIwXXLiFtLq0rqJa7ZaQrF10DZKHGnAP7AwoCwF&#10;PUPdQwC2c+oVlFHCocc6jASaDOtaCZlyoGwm47+yeWqglSkXKo5vz2Xy/w9WfNl/c0xVJb/mzIIh&#10;iZ5lH9h77Nk0VqdrfUGXnlq6Fnoyk8opU98+ovjhmcV1A3Yr75zDrpFQEbtJfJldPB1wfATZdJ+x&#10;ojCwC5iA+tqZWDoqBiN0UulwViZSEWTM54t8kZNLkO8qn86meQoBxel163z4KNGwuCm5I+UTOuwf&#10;fYhsoDhdicE8alU9KK3TIXabXGvH9kB9AkJIG4Ys9c4Q3cE+G9M3dAyZqa8G8/xkphCpbyNSCvhH&#10;EG1ZV/JFTsxfE3DbzTl8hBviRMBLnkYFGhatTMlvzpegiEX/YKvUygGUHvb0WNujCrHwgwSh3/RJ&#10;7quTuBusDiSLw2E2aJZp06D7xVlHc1Fy/3MHTnKmP1mSdjGZzeIgpcMsv57SwV16NpcesIKgSh44&#10;G7brkIYvVsDiHbVArZI6sVcGJkfK1O+phsfZjAN1eU63fv9BVi8AAAD//wMAUEsDBBQABgAIAAAA&#10;IQD2tYon3wAAAAgBAAAPAAAAZHJzL2Rvd25yZXYueG1sTI/PTsJAEMbvJr7DZky8GNgCIli7Jcak&#10;Bw/GgD7AtB3b2u5s7S5QfHqGk57mz/flm98km9F26kCDbxwbmE0jUMSFKxuuDHx+ZJM1KB+QS+wc&#10;k4ETedik11cJxqU78pYOu1ApCWEfo4E6hD7W2hc1WfRT1xOL9uUGi0HGodLlgEcJt52eR9GDttiw&#10;XKixp5eaina3t5LStqe7leZsUbwufrPt98/7W47G3N6Mz0+gAo3hzwwXfEGHVJhyt+fSq87A5H4p&#10;TtkvpYq+fpxLkxtYzSLQaaL/P5CeAQAA//8DAFBLAQItABQABgAIAAAAIQC2gziS/gAAAOEBAAAT&#10;AAAAAAAAAAAAAAAAAAAAAABbQ29udGVudF9UeXBlc10ueG1sUEsBAi0AFAAGAAgAAAAhADj9If/W&#10;AAAAlAEAAAsAAAAAAAAAAAAAAAAALwEAAF9yZWxzLy5yZWxzUEsBAi0AFAAGAAgAAAAhAP4zKChH&#10;AgAAiQQAAA4AAAAAAAAAAAAAAAAALgIAAGRycy9lMm9Eb2MueG1sUEsBAi0AFAAGAAgAAAAhAPa1&#10;iiffAAAACAEAAA8AAAAAAAAAAAAAAAAAoQQAAGRycy9kb3ducmV2LnhtbFBLBQYAAAAABAAEAPMA&#10;AACtBQAAAAA=&#10;" fillcolor="#b8cce4 [1300]">
                <v:textbox>
                  <w:txbxContent>
                    <w:p w14:paraId="49932D91" w14:textId="77777777" w:rsidR="00303437" w:rsidRPr="003D4265" w:rsidRDefault="00303437" w:rsidP="00303437">
                      <w:pPr>
                        <w:spacing w:after="0"/>
                        <w:jc w:val="center"/>
                        <w:rPr>
                          <w:rFonts w:ascii="Arial" w:hAnsi="Arial" w:cs="Arial"/>
                        </w:rPr>
                      </w:pPr>
                      <w:r w:rsidRPr="003D4265">
                        <w:rPr>
                          <w:rFonts w:ascii="Arial" w:hAnsi="Arial" w:cs="Arial"/>
                          <w:b/>
                          <w:sz w:val="28"/>
                          <w:szCs w:val="28"/>
                        </w:rPr>
                        <w:t>TERMS OF REFERENCE</w:t>
                      </w:r>
                    </w:p>
                  </w:txbxContent>
                </v:textbox>
                <w10:wrap type="square"/>
              </v:shape>
            </w:pict>
          </mc:Fallback>
        </mc:AlternateContent>
      </w:r>
    </w:p>
    <w:p w14:paraId="6C53F9F9" w14:textId="77777777" w:rsidR="00303437" w:rsidRPr="00FE7F77" w:rsidRDefault="00303437" w:rsidP="00303437">
      <w:pPr>
        <w:spacing w:after="0" w:line="120" w:lineRule="auto"/>
        <w:jc w:val="center"/>
        <w:rPr>
          <w:rFonts w:ascii="Arial" w:hAnsi="Arial" w:cs="Arial"/>
          <w:b/>
          <w:sz w:val="20"/>
          <w:szCs w:val="20"/>
          <w:u w:val="single"/>
        </w:rPr>
      </w:pPr>
    </w:p>
    <w:tbl>
      <w:tblPr>
        <w:tblStyle w:val="TableGrid"/>
        <w:tblW w:w="0" w:type="auto"/>
        <w:tblLook w:val="04A0" w:firstRow="1" w:lastRow="0" w:firstColumn="1" w:lastColumn="0" w:noHBand="0" w:noVBand="1"/>
      </w:tblPr>
      <w:tblGrid>
        <w:gridCol w:w="2689"/>
        <w:gridCol w:w="6327"/>
      </w:tblGrid>
      <w:tr w:rsidR="00303437" w:rsidRPr="00FE7F77" w14:paraId="32CC24B9" w14:textId="77777777" w:rsidTr="006B7305">
        <w:trPr>
          <w:trHeight w:val="737"/>
        </w:trPr>
        <w:tc>
          <w:tcPr>
            <w:tcW w:w="2689" w:type="dxa"/>
            <w:shd w:val="clear" w:color="auto" w:fill="DBE5F1" w:themeFill="accent1" w:themeFillTint="33"/>
            <w:vAlign w:val="center"/>
          </w:tcPr>
          <w:p w14:paraId="6CA9B71F" w14:textId="77777777" w:rsidR="00303437" w:rsidRPr="00FE7F77" w:rsidRDefault="00303437" w:rsidP="006B7305">
            <w:pPr>
              <w:jc w:val="center"/>
              <w:rPr>
                <w:b/>
                <w:sz w:val="20"/>
                <w:szCs w:val="20"/>
              </w:rPr>
            </w:pPr>
            <w:r w:rsidRPr="00FE7F77">
              <w:rPr>
                <w:b/>
                <w:sz w:val="20"/>
                <w:szCs w:val="20"/>
              </w:rPr>
              <w:t>MEETING</w:t>
            </w:r>
          </w:p>
        </w:tc>
        <w:tc>
          <w:tcPr>
            <w:tcW w:w="6327" w:type="dxa"/>
            <w:shd w:val="clear" w:color="auto" w:fill="DBE5F1" w:themeFill="accent1" w:themeFillTint="33"/>
            <w:vAlign w:val="center"/>
          </w:tcPr>
          <w:p w14:paraId="45E30F3B" w14:textId="77777777" w:rsidR="00303437" w:rsidRPr="00FE7F77" w:rsidRDefault="00303437" w:rsidP="006B7305">
            <w:pPr>
              <w:jc w:val="center"/>
              <w:rPr>
                <w:b/>
                <w:sz w:val="20"/>
                <w:szCs w:val="20"/>
              </w:rPr>
            </w:pPr>
            <w:r w:rsidRPr="00FE7F77">
              <w:rPr>
                <w:b/>
                <w:sz w:val="20"/>
                <w:szCs w:val="20"/>
              </w:rPr>
              <w:t>WARWICKSHIRE POLICE GOVERNANCE MEETING</w:t>
            </w:r>
          </w:p>
        </w:tc>
      </w:tr>
      <w:tr w:rsidR="00303437" w:rsidRPr="00FE7F77" w14:paraId="1F1B2236" w14:textId="77777777" w:rsidTr="006B7305">
        <w:trPr>
          <w:trHeight w:val="454"/>
        </w:trPr>
        <w:tc>
          <w:tcPr>
            <w:tcW w:w="2689" w:type="dxa"/>
            <w:vAlign w:val="center"/>
          </w:tcPr>
          <w:p w14:paraId="5CA9A253" w14:textId="77777777" w:rsidR="00303437" w:rsidRPr="00FE7F77" w:rsidRDefault="00303437" w:rsidP="006B7305">
            <w:pPr>
              <w:jc w:val="center"/>
              <w:rPr>
                <w:b/>
                <w:sz w:val="20"/>
                <w:szCs w:val="20"/>
              </w:rPr>
            </w:pPr>
            <w:r w:rsidRPr="00FE7F77">
              <w:rPr>
                <w:b/>
                <w:sz w:val="20"/>
                <w:szCs w:val="20"/>
              </w:rPr>
              <w:t>Purpose</w:t>
            </w:r>
          </w:p>
        </w:tc>
        <w:tc>
          <w:tcPr>
            <w:tcW w:w="6327" w:type="dxa"/>
            <w:vAlign w:val="center"/>
          </w:tcPr>
          <w:p w14:paraId="72C5312D" w14:textId="77777777" w:rsidR="00303437" w:rsidRPr="00FE7F77" w:rsidRDefault="00303437" w:rsidP="00303437">
            <w:pPr>
              <w:pStyle w:val="ListParagraph"/>
              <w:numPr>
                <w:ilvl w:val="0"/>
                <w:numId w:val="14"/>
              </w:numPr>
              <w:spacing w:before="120" w:after="120" w:line="276" w:lineRule="auto"/>
              <w:ind w:left="317" w:hanging="284"/>
              <w:jc w:val="both"/>
              <w:rPr>
                <w:sz w:val="20"/>
                <w:szCs w:val="20"/>
              </w:rPr>
            </w:pPr>
            <w:r w:rsidRPr="00FE7F77">
              <w:rPr>
                <w:sz w:val="20"/>
                <w:szCs w:val="20"/>
              </w:rPr>
              <w:t xml:space="preserve">To provide the Police and Crime Commissioner and Chief Constable with formal arrangements for the effective strategic governance of Warwickshire Police. </w:t>
            </w:r>
          </w:p>
          <w:p w14:paraId="11FC8230" w14:textId="77777777" w:rsidR="00303437" w:rsidRPr="00FE7F77" w:rsidRDefault="00303437" w:rsidP="00303437">
            <w:pPr>
              <w:pStyle w:val="ListParagraph"/>
              <w:numPr>
                <w:ilvl w:val="0"/>
                <w:numId w:val="14"/>
              </w:numPr>
              <w:spacing w:before="120" w:after="120" w:line="276" w:lineRule="auto"/>
              <w:ind w:left="317" w:hanging="284"/>
              <w:jc w:val="both"/>
              <w:rPr>
                <w:sz w:val="20"/>
                <w:szCs w:val="20"/>
              </w:rPr>
            </w:pPr>
            <w:r w:rsidRPr="00FE7F77">
              <w:rPr>
                <w:sz w:val="20"/>
                <w:szCs w:val="20"/>
              </w:rPr>
              <w:t>To provide a Scheme of Governance to enable the PCC to hold the CC to account for the day-to-day management of police funds, in accordance with the Financial Management Code of Practice.</w:t>
            </w:r>
          </w:p>
        </w:tc>
      </w:tr>
      <w:tr w:rsidR="00303437" w:rsidRPr="00FE7F77" w14:paraId="54D095D8" w14:textId="77777777" w:rsidTr="006B7305">
        <w:trPr>
          <w:trHeight w:val="454"/>
        </w:trPr>
        <w:tc>
          <w:tcPr>
            <w:tcW w:w="2689" w:type="dxa"/>
            <w:vAlign w:val="center"/>
          </w:tcPr>
          <w:p w14:paraId="6EFC42FD" w14:textId="77777777" w:rsidR="00303437" w:rsidRPr="00FE7F77" w:rsidRDefault="00303437" w:rsidP="006B7305">
            <w:pPr>
              <w:jc w:val="center"/>
              <w:rPr>
                <w:b/>
                <w:sz w:val="20"/>
                <w:szCs w:val="20"/>
              </w:rPr>
            </w:pPr>
            <w:r w:rsidRPr="00FE7F77">
              <w:rPr>
                <w:b/>
                <w:sz w:val="20"/>
                <w:szCs w:val="20"/>
              </w:rPr>
              <w:t>Frequency</w:t>
            </w:r>
          </w:p>
        </w:tc>
        <w:tc>
          <w:tcPr>
            <w:tcW w:w="6327" w:type="dxa"/>
            <w:vAlign w:val="center"/>
          </w:tcPr>
          <w:p w14:paraId="5EA2C7CA" w14:textId="77777777" w:rsidR="00303437" w:rsidRPr="00FE7F77" w:rsidRDefault="00303437" w:rsidP="00303437">
            <w:pPr>
              <w:pStyle w:val="ListParagraph"/>
              <w:numPr>
                <w:ilvl w:val="0"/>
                <w:numId w:val="15"/>
              </w:numPr>
              <w:spacing w:before="120" w:after="120" w:line="276" w:lineRule="auto"/>
              <w:ind w:left="317" w:hanging="284"/>
              <w:jc w:val="both"/>
              <w:rPr>
                <w:sz w:val="20"/>
                <w:szCs w:val="20"/>
              </w:rPr>
            </w:pPr>
            <w:r w:rsidRPr="00FE7F77">
              <w:rPr>
                <w:sz w:val="20"/>
                <w:szCs w:val="20"/>
              </w:rPr>
              <w:t xml:space="preserve">Monthly. </w:t>
            </w:r>
          </w:p>
          <w:p w14:paraId="25D76F2B" w14:textId="77777777" w:rsidR="00303437" w:rsidRPr="00FE7F77" w:rsidRDefault="00303437" w:rsidP="00303437">
            <w:pPr>
              <w:pStyle w:val="ListParagraph"/>
              <w:numPr>
                <w:ilvl w:val="0"/>
                <w:numId w:val="15"/>
              </w:numPr>
              <w:spacing w:before="120" w:after="120" w:line="276" w:lineRule="auto"/>
              <w:ind w:left="317" w:hanging="284"/>
              <w:jc w:val="both"/>
              <w:rPr>
                <w:sz w:val="20"/>
                <w:szCs w:val="20"/>
              </w:rPr>
            </w:pPr>
            <w:r w:rsidRPr="00FE7F77">
              <w:rPr>
                <w:sz w:val="20"/>
                <w:szCs w:val="20"/>
              </w:rPr>
              <w:t>Default - Last Tuesday in month.</w:t>
            </w:r>
          </w:p>
        </w:tc>
      </w:tr>
      <w:tr w:rsidR="00303437" w:rsidRPr="00FE7F77" w14:paraId="22067C97" w14:textId="77777777" w:rsidTr="006B7305">
        <w:trPr>
          <w:trHeight w:val="454"/>
        </w:trPr>
        <w:tc>
          <w:tcPr>
            <w:tcW w:w="2689" w:type="dxa"/>
            <w:vAlign w:val="center"/>
          </w:tcPr>
          <w:p w14:paraId="61115569" w14:textId="77777777" w:rsidR="00303437" w:rsidRPr="00FE7F77" w:rsidRDefault="00303437" w:rsidP="006B7305">
            <w:pPr>
              <w:jc w:val="center"/>
              <w:rPr>
                <w:b/>
                <w:sz w:val="20"/>
                <w:szCs w:val="20"/>
              </w:rPr>
            </w:pPr>
            <w:r w:rsidRPr="00FE7F77">
              <w:rPr>
                <w:b/>
                <w:sz w:val="20"/>
                <w:szCs w:val="20"/>
              </w:rPr>
              <w:t>Location</w:t>
            </w:r>
          </w:p>
        </w:tc>
        <w:tc>
          <w:tcPr>
            <w:tcW w:w="6327" w:type="dxa"/>
            <w:vAlign w:val="center"/>
          </w:tcPr>
          <w:p w14:paraId="71068418" w14:textId="77777777" w:rsidR="00303437" w:rsidRPr="00FE7F77" w:rsidRDefault="00303437" w:rsidP="006B7305">
            <w:pPr>
              <w:jc w:val="both"/>
              <w:rPr>
                <w:sz w:val="20"/>
                <w:szCs w:val="20"/>
              </w:rPr>
            </w:pPr>
            <w:r w:rsidRPr="00FE7F77">
              <w:rPr>
                <w:sz w:val="20"/>
                <w:szCs w:val="20"/>
              </w:rPr>
              <w:t>Warwickshire Police HQ, Leek Wootton.</w:t>
            </w:r>
          </w:p>
        </w:tc>
      </w:tr>
      <w:tr w:rsidR="00303437" w:rsidRPr="00FE7F77" w14:paraId="743479E5" w14:textId="77777777" w:rsidTr="006B7305">
        <w:trPr>
          <w:trHeight w:val="454"/>
        </w:trPr>
        <w:tc>
          <w:tcPr>
            <w:tcW w:w="2689" w:type="dxa"/>
            <w:vAlign w:val="center"/>
          </w:tcPr>
          <w:p w14:paraId="6DE667AC" w14:textId="77777777" w:rsidR="00303437" w:rsidRPr="00FE7F77" w:rsidRDefault="00303437" w:rsidP="006B7305">
            <w:pPr>
              <w:jc w:val="center"/>
              <w:rPr>
                <w:b/>
                <w:sz w:val="20"/>
                <w:szCs w:val="20"/>
              </w:rPr>
            </w:pPr>
            <w:r w:rsidRPr="00FE7F77">
              <w:rPr>
                <w:b/>
                <w:sz w:val="20"/>
                <w:szCs w:val="20"/>
              </w:rPr>
              <w:t>Chair</w:t>
            </w:r>
          </w:p>
        </w:tc>
        <w:tc>
          <w:tcPr>
            <w:tcW w:w="6327" w:type="dxa"/>
            <w:vAlign w:val="center"/>
          </w:tcPr>
          <w:p w14:paraId="3B2421E1" w14:textId="77777777" w:rsidR="00303437" w:rsidRPr="00FE7F77" w:rsidRDefault="00303437" w:rsidP="006B7305">
            <w:pPr>
              <w:jc w:val="both"/>
              <w:rPr>
                <w:sz w:val="20"/>
                <w:szCs w:val="20"/>
              </w:rPr>
            </w:pPr>
            <w:r w:rsidRPr="00FE7F77">
              <w:rPr>
                <w:sz w:val="20"/>
                <w:szCs w:val="20"/>
              </w:rPr>
              <w:t>Warwickshire Police and Crime Commissioner (PCC).</w:t>
            </w:r>
          </w:p>
        </w:tc>
      </w:tr>
      <w:tr w:rsidR="00303437" w:rsidRPr="00FE7F77" w14:paraId="7F392376" w14:textId="77777777" w:rsidTr="006B7305">
        <w:trPr>
          <w:trHeight w:val="454"/>
        </w:trPr>
        <w:tc>
          <w:tcPr>
            <w:tcW w:w="2689" w:type="dxa"/>
            <w:vAlign w:val="center"/>
          </w:tcPr>
          <w:p w14:paraId="1C353922" w14:textId="77777777" w:rsidR="00303437" w:rsidRPr="00FE7F77" w:rsidRDefault="00303437" w:rsidP="006B7305">
            <w:pPr>
              <w:jc w:val="center"/>
              <w:rPr>
                <w:b/>
                <w:sz w:val="20"/>
                <w:szCs w:val="20"/>
              </w:rPr>
            </w:pPr>
            <w:r w:rsidRPr="00FE7F77">
              <w:rPr>
                <w:b/>
                <w:sz w:val="20"/>
                <w:szCs w:val="20"/>
              </w:rPr>
              <w:t>Membership</w:t>
            </w:r>
          </w:p>
        </w:tc>
        <w:tc>
          <w:tcPr>
            <w:tcW w:w="6327" w:type="dxa"/>
            <w:vAlign w:val="center"/>
          </w:tcPr>
          <w:p w14:paraId="40DD9967" w14:textId="77777777" w:rsidR="00303437" w:rsidRPr="00FE7F77" w:rsidRDefault="00303437" w:rsidP="00303437">
            <w:pPr>
              <w:pStyle w:val="ListParagraph"/>
              <w:numPr>
                <w:ilvl w:val="0"/>
                <w:numId w:val="17"/>
              </w:numPr>
              <w:spacing w:line="276" w:lineRule="auto"/>
              <w:ind w:left="317" w:hanging="284"/>
              <w:jc w:val="both"/>
              <w:rPr>
                <w:sz w:val="20"/>
                <w:szCs w:val="20"/>
              </w:rPr>
            </w:pPr>
            <w:r w:rsidRPr="00FE7F77">
              <w:rPr>
                <w:sz w:val="20"/>
                <w:szCs w:val="20"/>
              </w:rPr>
              <w:t>Police and Crime Commissioner (PCC).</w:t>
            </w:r>
          </w:p>
          <w:p w14:paraId="1052EC46" w14:textId="77777777" w:rsidR="00303437" w:rsidRPr="00FE7F77" w:rsidRDefault="00303437" w:rsidP="00303437">
            <w:pPr>
              <w:pStyle w:val="ListParagraph"/>
              <w:numPr>
                <w:ilvl w:val="0"/>
                <w:numId w:val="17"/>
              </w:numPr>
              <w:spacing w:line="276" w:lineRule="auto"/>
              <w:ind w:left="317" w:hanging="284"/>
              <w:jc w:val="both"/>
              <w:rPr>
                <w:sz w:val="20"/>
                <w:szCs w:val="20"/>
              </w:rPr>
            </w:pPr>
            <w:r w:rsidRPr="00FE7F77">
              <w:rPr>
                <w:sz w:val="20"/>
                <w:szCs w:val="20"/>
              </w:rPr>
              <w:t>Chief Constable (CC.)</w:t>
            </w:r>
          </w:p>
          <w:p w14:paraId="583EE377" w14:textId="77777777" w:rsidR="00303437" w:rsidRPr="00FE7F77" w:rsidRDefault="00303437" w:rsidP="00303437">
            <w:pPr>
              <w:pStyle w:val="ListParagraph"/>
              <w:numPr>
                <w:ilvl w:val="0"/>
                <w:numId w:val="17"/>
              </w:numPr>
              <w:spacing w:line="276" w:lineRule="auto"/>
              <w:ind w:left="317" w:hanging="284"/>
              <w:jc w:val="both"/>
              <w:rPr>
                <w:sz w:val="20"/>
                <w:szCs w:val="20"/>
              </w:rPr>
            </w:pPr>
            <w:r w:rsidRPr="00FE7F77">
              <w:rPr>
                <w:sz w:val="20"/>
                <w:szCs w:val="20"/>
              </w:rPr>
              <w:t>Deputy Chief Constable (DCC).</w:t>
            </w:r>
          </w:p>
          <w:p w14:paraId="7FA9223F" w14:textId="77777777" w:rsidR="00303437" w:rsidRPr="00FE7F77" w:rsidRDefault="00303437" w:rsidP="00303437">
            <w:pPr>
              <w:pStyle w:val="ListParagraph"/>
              <w:numPr>
                <w:ilvl w:val="0"/>
                <w:numId w:val="17"/>
              </w:numPr>
              <w:spacing w:line="276" w:lineRule="auto"/>
              <w:ind w:left="317" w:hanging="284"/>
              <w:jc w:val="both"/>
              <w:rPr>
                <w:sz w:val="20"/>
                <w:szCs w:val="20"/>
              </w:rPr>
            </w:pPr>
            <w:r w:rsidRPr="00FE7F77">
              <w:rPr>
                <w:sz w:val="20"/>
                <w:szCs w:val="20"/>
              </w:rPr>
              <w:t>OPCC Chief Executive Officer (CEO).</w:t>
            </w:r>
          </w:p>
          <w:p w14:paraId="1693B8CF" w14:textId="77777777" w:rsidR="00303437" w:rsidRPr="00FE7F77" w:rsidRDefault="00303437" w:rsidP="00303437">
            <w:pPr>
              <w:pStyle w:val="ListParagraph"/>
              <w:numPr>
                <w:ilvl w:val="0"/>
                <w:numId w:val="17"/>
              </w:numPr>
              <w:spacing w:line="276" w:lineRule="auto"/>
              <w:ind w:left="317" w:hanging="284"/>
              <w:jc w:val="both"/>
              <w:rPr>
                <w:sz w:val="20"/>
                <w:szCs w:val="20"/>
              </w:rPr>
            </w:pPr>
            <w:r w:rsidRPr="00FE7F77">
              <w:rPr>
                <w:sz w:val="20"/>
                <w:szCs w:val="20"/>
              </w:rPr>
              <w:t xml:space="preserve">OPCC Treasurer. </w:t>
            </w:r>
          </w:p>
          <w:p w14:paraId="3C25A2A9" w14:textId="77777777" w:rsidR="00303437" w:rsidRPr="00FE7F77" w:rsidRDefault="00303437" w:rsidP="00303437">
            <w:pPr>
              <w:pStyle w:val="ListParagraph"/>
              <w:numPr>
                <w:ilvl w:val="0"/>
                <w:numId w:val="17"/>
              </w:numPr>
              <w:spacing w:line="276" w:lineRule="auto"/>
              <w:ind w:left="317" w:hanging="284"/>
              <w:jc w:val="both"/>
              <w:rPr>
                <w:b/>
                <w:sz w:val="20"/>
                <w:szCs w:val="20"/>
                <w:u w:val="single"/>
              </w:rPr>
            </w:pPr>
            <w:r w:rsidRPr="00FE7F77">
              <w:rPr>
                <w:sz w:val="20"/>
                <w:szCs w:val="20"/>
              </w:rPr>
              <w:t>Force Finance Officer.</w:t>
            </w:r>
          </w:p>
          <w:p w14:paraId="0ADDEF7C" w14:textId="77777777" w:rsidR="00303437" w:rsidRPr="00FE7F77" w:rsidRDefault="00303437" w:rsidP="00303437">
            <w:pPr>
              <w:pStyle w:val="ListParagraph"/>
              <w:numPr>
                <w:ilvl w:val="0"/>
                <w:numId w:val="17"/>
              </w:numPr>
              <w:spacing w:line="276" w:lineRule="auto"/>
              <w:ind w:left="317" w:hanging="284"/>
              <w:jc w:val="both"/>
              <w:rPr>
                <w:sz w:val="20"/>
                <w:szCs w:val="20"/>
              </w:rPr>
            </w:pPr>
            <w:r w:rsidRPr="00FE7F77">
              <w:rPr>
                <w:sz w:val="20"/>
                <w:szCs w:val="20"/>
              </w:rPr>
              <w:t>Others as required by invitation.</w:t>
            </w:r>
          </w:p>
        </w:tc>
      </w:tr>
      <w:tr w:rsidR="00303437" w:rsidRPr="00FE7F77" w14:paraId="44D6AAB6" w14:textId="77777777" w:rsidTr="006B7305">
        <w:trPr>
          <w:trHeight w:val="454"/>
        </w:trPr>
        <w:tc>
          <w:tcPr>
            <w:tcW w:w="2689" w:type="dxa"/>
            <w:vAlign w:val="center"/>
          </w:tcPr>
          <w:p w14:paraId="4E1267A4" w14:textId="77777777" w:rsidR="00303437" w:rsidRPr="00FE7F77" w:rsidRDefault="00303437" w:rsidP="006B7305">
            <w:pPr>
              <w:jc w:val="center"/>
              <w:rPr>
                <w:b/>
                <w:sz w:val="20"/>
                <w:szCs w:val="20"/>
              </w:rPr>
            </w:pPr>
            <w:r w:rsidRPr="00FE7F77">
              <w:rPr>
                <w:b/>
                <w:sz w:val="20"/>
                <w:szCs w:val="20"/>
              </w:rPr>
              <w:t>Core Terms of Reference</w:t>
            </w:r>
          </w:p>
        </w:tc>
        <w:tc>
          <w:tcPr>
            <w:tcW w:w="6327" w:type="dxa"/>
            <w:vAlign w:val="center"/>
          </w:tcPr>
          <w:p w14:paraId="331EEF7F" w14:textId="77777777" w:rsidR="00303437" w:rsidRPr="00FE7F77" w:rsidRDefault="00303437" w:rsidP="006B7305">
            <w:pPr>
              <w:spacing w:before="120" w:after="120" w:line="276" w:lineRule="auto"/>
              <w:ind w:left="34"/>
              <w:jc w:val="both"/>
              <w:rPr>
                <w:sz w:val="20"/>
                <w:szCs w:val="20"/>
              </w:rPr>
            </w:pPr>
            <w:r w:rsidRPr="00FE7F77">
              <w:rPr>
                <w:sz w:val="20"/>
                <w:szCs w:val="20"/>
              </w:rPr>
              <w:t>To enable the PCC to secure an effective and efficient police service for Warwickshire, as required under the Police Reform and Social Responsibility Act 2011 (PRSRA).</w:t>
            </w:r>
          </w:p>
        </w:tc>
      </w:tr>
      <w:tr w:rsidR="00303437" w:rsidRPr="00FE7F77" w14:paraId="09F928B5" w14:textId="77777777" w:rsidTr="006B7305">
        <w:trPr>
          <w:trHeight w:val="454"/>
        </w:trPr>
        <w:tc>
          <w:tcPr>
            <w:tcW w:w="2689" w:type="dxa"/>
            <w:vAlign w:val="center"/>
          </w:tcPr>
          <w:p w14:paraId="7A5FDE35" w14:textId="77777777" w:rsidR="00303437" w:rsidRPr="00FE7F77" w:rsidRDefault="00303437" w:rsidP="006B7305">
            <w:pPr>
              <w:jc w:val="center"/>
              <w:rPr>
                <w:b/>
                <w:sz w:val="20"/>
                <w:szCs w:val="20"/>
              </w:rPr>
            </w:pPr>
            <w:r w:rsidRPr="00FE7F77">
              <w:rPr>
                <w:b/>
                <w:sz w:val="20"/>
                <w:szCs w:val="20"/>
              </w:rPr>
              <w:t>Input into Meeting</w:t>
            </w:r>
          </w:p>
        </w:tc>
        <w:tc>
          <w:tcPr>
            <w:tcW w:w="6327" w:type="dxa"/>
            <w:vAlign w:val="center"/>
          </w:tcPr>
          <w:p w14:paraId="4ADC8C24" w14:textId="77777777" w:rsidR="00303437" w:rsidRPr="00FE7F77" w:rsidRDefault="00303437" w:rsidP="006B7305">
            <w:pPr>
              <w:jc w:val="both"/>
              <w:rPr>
                <w:sz w:val="20"/>
                <w:szCs w:val="20"/>
              </w:rPr>
            </w:pPr>
            <w:r w:rsidRPr="00FE7F77">
              <w:rPr>
                <w:sz w:val="20"/>
                <w:szCs w:val="20"/>
              </w:rPr>
              <w:t>Reports as required.</w:t>
            </w:r>
          </w:p>
        </w:tc>
      </w:tr>
      <w:tr w:rsidR="00303437" w:rsidRPr="00FE7F77" w14:paraId="379CFF80" w14:textId="77777777" w:rsidTr="006B7305">
        <w:trPr>
          <w:trHeight w:val="454"/>
        </w:trPr>
        <w:tc>
          <w:tcPr>
            <w:tcW w:w="2689" w:type="dxa"/>
            <w:vAlign w:val="center"/>
          </w:tcPr>
          <w:p w14:paraId="369B633F" w14:textId="77777777" w:rsidR="00303437" w:rsidRPr="00FE7F77" w:rsidRDefault="00303437" w:rsidP="006B7305">
            <w:pPr>
              <w:jc w:val="center"/>
              <w:rPr>
                <w:b/>
                <w:sz w:val="20"/>
                <w:szCs w:val="20"/>
              </w:rPr>
            </w:pPr>
            <w:r w:rsidRPr="00FE7F77">
              <w:rPr>
                <w:b/>
                <w:sz w:val="20"/>
                <w:szCs w:val="20"/>
              </w:rPr>
              <w:t>Deliverables</w:t>
            </w:r>
          </w:p>
        </w:tc>
        <w:tc>
          <w:tcPr>
            <w:tcW w:w="6327" w:type="dxa"/>
            <w:vAlign w:val="center"/>
          </w:tcPr>
          <w:p w14:paraId="023B4A46" w14:textId="77777777" w:rsidR="00303437" w:rsidRPr="00FE7F77" w:rsidRDefault="00303437" w:rsidP="006B7305">
            <w:pPr>
              <w:jc w:val="both"/>
              <w:rPr>
                <w:sz w:val="20"/>
                <w:szCs w:val="20"/>
              </w:rPr>
            </w:pPr>
            <w:r w:rsidRPr="00FE7F77">
              <w:rPr>
                <w:sz w:val="20"/>
                <w:szCs w:val="20"/>
              </w:rPr>
              <w:t>A record of actions and decision.</w:t>
            </w:r>
          </w:p>
        </w:tc>
      </w:tr>
      <w:tr w:rsidR="00303437" w:rsidRPr="00FE7F77" w14:paraId="45792DE9" w14:textId="77777777" w:rsidTr="006B7305">
        <w:trPr>
          <w:trHeight w:val="454"/>
        </w:trPr>
        <w:tc>
          <w:tcPr>
            <w:tcW w:w="2689" w:type="dxa"/>
            <w:vAlign w:val="center"/>
          </w:tcPr>
          <w:p w14:paraId="1D02A174" w14:textId="77777777" w:rsidR="00303437" w:rsidRPr="00FE7F77" w:rsidRDefault="00303437" w:rsidP="006B7305">
            <w:pPr>
              <w:jc w:val="center"/>
              <w:rPr>
                <w:b/>
                <w:sz w:val="20"/>
                <w:szCs w:val="20"/>
              </w:rPr>
            </w:pPr>
            <w:r w:rsidRPr="00FE7F77">
              <w:rPr>
                <w:b/>
                <w:sz w:val="20"/>
                <w:szCs w:val="20"/>
              </w:rPr>
              <w:t>Linked Meeting</w:t>
            </w:r>
          </w:p>
        </w:tc>
        <w:tc>
          <w:tcPr>
            <w:tcW w:w="6327" w:type="dxa"/>
            <w:vAlign w:val="center"/>
          </w:tcPr>
          <w:p w14:paraId="08F8A25B" w14:textId="77777777" w:rsidR="00303437" w:rsidRPr="00FE7F77" w:rsidRDefault="00303437" w:rsidP="006B7305">
            <w:pPr>
              <w:jc w:val="both"/>
              <w:rPr>
                <w:sz w:val="20"/>
                <w:szCs w:val="20"/>
              </w:rPr>
            </w:pPr>
            <w:r w:rsidRPr="00FE7F77">
              <w:rPr>
                <w:sz w:val="20"/>
                <w:szCs w:val="20"/>
              </w:rPr>
              <w:t>Performance Accountability Meeting (PAM).</w:t>
            </w:r>
          </w:p>
        </w:tc>
      </w:tr>
      <w:tr w:rsidR="00303437" w:rsidRPr="00FE7F77" w14:paraId="25B54ACE" w14:textId="77777777" w:rsidTr="006B7305">
        <w:trPr>
          <w:trHeight w:val="454"/>
        </w:trPr>
        <w:tc>
          <w:tcPr>
            <w:tcW w:w="2689" w:type="dxa"/>
            <w:vAlign w:val="center"/>
          </w:tcPr>
          <w:p w14:paraId="54E32DF8" w14:textId="77777777" w:rsidR="00303437" w:rsidRPr="00FE7F77" w:rsidRDefault="00303437" w:rsidP="006B7305">
            <w:pPr>
              <w:jc w:val="center"/>
              <w:rPr>
                <w:b/>
                <w:sz w:val="20"/>
                <w:szCs w:val="20"/>
              </w:rPr>
            </w:pPr>
            <w:r w:rsidRPr="00FE7F77">
              <w:rPr>
                <w:b/>
                <w:sz w:val="20"/>
                <w:szCs w:val="20"/>
              </w:rPr>
              <w:t>Standing Agenda</w:t>
            </w:r>
          </w:p>
          <w:p w14:paraId="2A675345" w14:textId="77777777" w:rsidR="00303437" w:rsidRPr="00FE7F77" w:rsidRDefault="00303437" w:rsidP="006B7305">
            <w:pPr>
              <w:jc w:val="center"/>
              <w:rPr>
                <w:b/>
                <w:sz w:val="20"/>
                <w:szCs w:val="20"/>
              </w:rPr>
            </w:pPr>
          </w:p>
        </w:tc>
        <w:tc>
          <w:tcPr>
            <w:tcW w:w="6327" w:type="dxa"/>
            <w:vAlign w:val="center"/>
          </w:tcPr>
          <w:p w14:paraId="58F23F2E" w14:textId="77777777" w:rsidR="00303437" w:rsidRPr="00FE7F77" w:rsidRDefault="00303437" w:rsidP="00303437">
            <w:pPr>
              <w:pStyle w:val="ListParagraph"/>
              <w:numPr>
                <w:ilvl w:val="0"/>
                <w:numId w:val="16"/>
              </w:numPr>
              <w:spacing w:line="276" w:lineRule="auto"/>
              <w:ind w:left="317" w:hanging="284"/>
              <w:jc w:val="both"/>
              <w:rPr>
                <w:sz w:val="20"/>
                <w:szCs w:val="20"/>
              </w:rPr>
            </w:pPr>
            <w:r w:rsidRPr="00FE7F77">
              <w:rPr>
                <w:sz w:val="20"/>
                <w:szCs w:val="20"/>
              </w:rPr>
              <w:t xml:space="preserve">Establishment and Recruitment. </w:t>
            </w:r>
          </w:p>
          <w:p w14:paraId="606E9BA1" w14:textId="77777777" w:rsidR="00303437" w:rsidRPr="00FE7F77" w:rsidRDefault="00303437" w:rsidP="00303437">
            <w:pPr>
              <w:pStyle w:val="CfPS"/>
              <w:numPr>
                <w:ilvl w:val="0"/>
                <w:numId w:val="16"/>
              </w:numPr>
              <w:spacing w:line="276" w:lineRule="auto"/>
              <w:ind w:left="317" w:hanging="284"/>
              <w:jc w:val="both"/>
              <w:rPr>
                <w:rFonts w:ascii="Arial" w:hAnsi="Arial" w:cs="Arial"/>
                <w:sz w:val="20"/>
                <w:szCs w:val="20"/>
              </w:rPr>
            </w:pPr>
            <w:r w:rsidRPr="00FE7F77">
              <w:rPr>
                <w:rFonts w:ascii="Arial" w:hAnsi="Arial" w:cs="Arial"/>
                <w:sz w:val="20"/>
                <w:szCs w:val="20"/>
              </w:rPr>
              <w:t>Finance.</w:t>
            </w:r>
          </w:p>
          <w:p w14:paraId="0E555A1D" w14:textId="77777777" w:rsidR="00303437" w:rsidRPr="00FE7F77" w:rsidRDefault="00303437" w:rsidP="00303437">
            <w:pPr>
              <w:pStyle w:val="CfPS"/>
              <w:numPr>
                <w:ilvl w:val="0"/>
                <w:numId w:val="16"/>
              </w:numPr>
              <w:spacing w:line="276" w:lineRule="auto"/>
              <w:ind w:left="317" w:hanging="284"/>
              <w:jc w:val="both"/>
              <w:rPr>
                <w:rFonts w:ascii="Arial" w:hAnsi="Arial" w:cs="Arial"/>
                <w:sz w:val="20"/>
                <w:szCs w:val="20"/>
              </w:rPr>
            </w:pPr>
            <w:r w:rsidRPr="00FE7F77">
              <w:rPr>
                <w:rFonts w:ascii="Arial" w:hAnsi="Arial" w:cs="Arial"/>
                <w:sz w:val="20"/>
                <w:szCs w:val="20"/>
              </w:rPr>
              <w:t>Estates.</w:t>
            </w:r>
          </w:p>
          <w:p w14:paraId="7B6ED037" w14:textId="77777777" w:rsidR="00303437" w:rsidRPr="00FE7F77" w:rsidRDefault="00303437" w:rsidP="00303437">
            <w:pPr>
              <w:pStyle w:val="CfPS"/>
              <w:numPr>
                <w:ilvl w:val="0"/>
                <w:numId w:val="16"/>
              </w:numPr>
              <w:spacing w:line="276" w:lineRule="auto"/>
              <w:ind w:left="317" w:hanging="284"/>
              <w:jc w:val="both"/>
              <w:rPr>
                <w:rFonts w:ascii="Arial" w:hAnsi="Arial" w:cs="Arial"/>
                <w:sz w:val="20"/>
                <w:szCs w:val="20"/>
              </w:rPr>
            </w:pPr>
            <w:r w:rsidRPr="00FE7F77">
              <w:rPr>
                <w:rFonts w:ascii="Arial" w:hAnsi="Arial" w:cs="Arial"/>
                <w:sz w:val="20"/>
                <w:szCs w:val="20"/>
              </w:rPr>
              <w:t>Transition.</w:t>
            </w:r>
          </w:p>
          <w:p w14:paraId="6536CB55" w14:textId="77777777" w:rsidR="00303437" w:rsidRPr="00FE7F77" w:rsidRDefault="00303437" w:rsidP="00303437">
            <w:pPr>
              <w:pStyle w:val="CfPS"/>
              <w:numPr>
                <w:ilvl w:val="0"/>
                <w:numId w:val="16"/>
              </w:numPr>
              <w:spacing w:line="276" w:lineRule="auto"/>
              <w:ind w:left="317" w:hanging="284"/>
              <w:jc w:val="both"/>
              <w:rPr>
                <w:rFonts w:ascii="Arial" w:hAnsi="Arial" w:cs="Arial"/>
                <w:sz w:val="20"/>
                <w:szCs w:val="20"/>
              </w:rPr>
            </w:pPr>
            <w:r w:rsidRPr="00FE7F77">
              <w:rPr>
                <w:rFonts w:ascii="Arial" w:hAnsi="Arial" w:cs="Arial"/>
                <w:sz w:val="20"/>
                <w:szCs w:val="20"/>
              </w:rPr>
              <w:t xml:space="preserve">Assurance. </w:t>
            </w:r>
          </w:p>
          <w:p w14:paraId="022377BD" w14:textId="77777777" w:rsidR="00303437" w:rsidRPr="00FE7F77" w:rsidRDefault="00303437" w:rsidP="00303437">
            <w:pPr>
              <w:pStyle w:val="ListParagraph"/>
              <w:numPr>
                <w:ilvl w:val="0"/>
                <w:numId w:val="16"/>
              </w:numPr>
              <w:spacing w:line="276" w:lineRule="auto"/>
              <w:ind w:left="317" w:hanging="284"/>
              <w:jc w:val="both"/>
              <w:rPr>
                <w:sz w:val="20"/>
                <w:szCs w:val="20"/>
              </w:rPr>
            </w:pPr>
            <w:r w:rsidRPr="00FE7F77">
              <w:rPr>
                <w:sz w:val="20"/>
                <w:szCs w:val="20"/>
              </w:rPr>
              <w:t>AOB.</w:t>
            </w:r>
          </w:p>
        </w:tc>
      </w:tr>
      <w:tr w:rsidR="00303437" w:rsidRPr="00FE7F77" w14:paraId="2E5ABBBD" w14:textId="77777777" w:rsidTr="006B7305">
        <w:trPr>
          <w:trHeight w:val="70"/>
        </w:trPr>
        <w:tc>
          <w:tcPr>
            <w:tcW w:w="2689" w:type="dxa"/>
            <w:vAlign w:val="center"/>
          </w:tcPr>
          <w:p w14:paraId="37037CB5" w14:textId="77777777" w:rsidR="00303437" w:rsidRPr="00FE7F77" w:rsidRDefault="00303437" w:rsidP="006B7305">
            <w:pPr>
              <w:jc w:val="center"/>
              <w:rPr>
                <w:b/>
                <w:sz w:val="20"/>
                <w:szCs w:val="20"/>
              </w:rPr>
            </w:pPr>
            <w:r w:rsidRPr="00FE7F77">
              <w:rPr>
                <w:b/>
                <w:sz w:val="20"/>
                <w:szCs w:val="20"/>
              </w:rPr>
              <w:t>Meeting Support</w:t>
            </w:r>
          </w:p>
        </w:tc>
        <w:tc>
          <w:tcPr>
            <w:tcW w:w="6327" w:type="dxa"/>
            <w:vAlign w:val="center"/>
          </w:tcPr>
          <w:p w14:paraId="1BD3FB41" w14:textId="77777777" w:rsidR="00303437" w:rsidRPr="00FE7F77" w:rsidRDefault="00303437" w:rsidP="006B7305">
            <w:pPr>
              <w:jc w:val="both"/>
              <w:rPr>
                <w:sz w:val="20"/>
                <w:szCs w:val="20"/>
              </w:rPr>
            </w:pPr>
            <w:r w:rsidRPr="00FE7F77">
              <w:rPr>
                <w:sz w:val="20"/>
                <w:szCs w:val="20"/>
              </w:rPr>
              <w:t>OPCC Secretariat.</w:t>
            </w:r>
          </w:p>
        </w:tc>
      </w:tr>
    </w:tbl>
    <w:p w14:paraId="7B336094" w14:textId="77777777" w:rsidR="00303437" w:rsidRDefault="00303437" w:rsidP="00303437">
      <w:pPr>
        <w:autoSpaceDE w:val="0"/>
        <w:autoSpaceDN w:val="0"/>
        <w:adjustRightInd w:val="0"/>
        <w:spacing w:after="0" w:line="240" w:lineRule="auto"/>
        <w:rPr>
          <w:b/>
          <w:bCs/>
          <w:color w:val="000000"/>
        </w:rPr>
      </w:pPr>
    </w:p>
    <w:sectPr w:rsidR="00303437" w:rsidSect="00495AB6">
      <w:footerReference w:type="default" r:id="rId15"/>
      <w:pgSz w:w="11906" w:h="16838"/>
      <w:pgMar w:top="1440" w:right="1440" w:bottom="426"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77021" w14:textId="77777777" w:rsidR="00FC1DB1" w:rsidRDefault="00FC1DB1" w:rsidP="00EA3171">
      <w:pPr>
        <w:spacing w:after="0" w:line="240" w:lineRule="auto"/>
      </w:pPr>
      <w:r>
        <w:separator/>
      </w:r>
    </w:p>
  </w:endnote>
  <w:endnote w:type="continuationSeparator" w:id="0">
    <w:p w14:paraId="45D0A519" w14:textId="77777777" w:rsidR="00FC1DB1" w:rsidRDefault="00FC1DB1" w:rsidP="00EA3171">
      <w:pPr>
        <w:spacing w:after="0" w:line="240" w:lineRule="auto"/>
      </w:pPr>
      <w:r>
        <w:continuationSeparator/>
      </w:r>
    </w:p>
  </w:endnote>
  <w:endnote w:type="continuationNotice" w:id="1">
    <w:p w14:paraId="5BF139D6" w14:textId="77777777" w:rsidR="00FC1DB1" w:rsidRDefault="00FC1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268476"/>
      <w:docPartObj>
        <w:docPartGallery w:val="Page Numbers (Bottom of Page)"/>
        <w:docPartUnique/>
      </w:docPartObj>
    </w:sdtPr>
    <w:sdtEndPr>
      <w:rPr>
        <w:noProof/>
      </w:rPr>
    </w:sdtEndPr>
    <w:sdtContent>
      <w:p w14:paraId="3BA5FC4C" w14:textId="39CE0556" w:rsidR="00EA3171" w:rsidRDefault="00EA3171">
        <w:pPr>
          <w:pStyle w:val="Footer"/>
          <w:jc w:val="right"/>
        </w:pPr>
        <w:r>
          <w:fldChar w:fldCharType="begin"/>
        </w:r>
        <w:r>
          <w:instrText xml:space="preserve"> PAGE   \* MERGEFORMAT </w:instrText>
        </w:r>
        <w:r>
          <w:fldChar w:fldCharType="separate"/>
        </w:r>
        <w:r w:rsidR="00A526F5">
          <w:rPr>
            <w:noProof/>
          </w:rPr>
          <w:t>11</w:t>
        </w:r>
        <w:r>
          <w:rPr>
            <w:noProof/>
          </w:rPr>
          <w:fldChar w:fldCharType="end"/>
        </w:r>
      </w:p>
    </w:sdtContent>
  </w:sdt>
  <w:p w14:paraId="69CCD13D" w14:textId="77777777" w:rsidR="00EA3171" w:rsidRDefault="00EA3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2A6D4" w14:textId="77777777" w:rsidR="00FC1DB1" w:rsidRDefault="00FC1DB1" w:rsidP="00EA3171">
      <w:pPr>
        <w:spacing w:after="0" w:line="240" w:lineRule="auto"/>
      </w:pPr>
      <w:r>
        <w:separator/>
      </w:r>
    </w:p>
  </w:footnote>
  <w:footnote w:type="continuationSeparator" w:id="0">
    <w:p w14:paraId="04EC6A9D" w14:textId="77777777" w:rsidR="00FC1DB1" w:rsidRDefault="00FC1DB1" w:rsidP="00EA3171">
      <w:pPr>
        <w:spacing w:after="0" w:line="240" w:lineRule="auto"/>
      </w:pPr>
      <w:r>
        <w:continuationSeparator/>
      </w:r>
    </w:p>
  </w:footnote>
  <w:footnote w:type="continuationNotice" w:id="1">
    <w:p w14:paraId="585621C6" w14:textId="77777777" w:rsidR="00FC1DB1" w:rsidRDefault="00FC1DB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0655"/>
    <w:multiLevelType w:val="hybridMultilevel"/>
    <w:tmpl w:val="3EAE23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F2B3E"/>
    <w:multiLevelType w:val="hybridMultilevel"/>
    <w:tmpl w:val="63D0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47EC6"/>
    <w:multiLevelType w:val="hybridMultilevel"/>
    <w:tmpl w:val="8DE4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74C5B"/>
    <w:multiLevelType w:val="hybridMultilevel"/>
    <w:tmpl w:val="EB4E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67F9E"/>
    <w:multiLevelType w:val="hybridMultilevel"/>
    <w:tmpl w:val="494C5AC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2858AB"/>
    <w:multiLevelType w:val="hybridMultilevel"/>
    <w:tmpl w:val="D7B2817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6" w15:restartNumberingAfterBreak="0">
    <w:nsid w:val="26E723D9"/>
    <w:multiLevelType w:val="hybridMultilevel"/>
    <w:tmpl w:val="EB06F184"/>
    <w:lvl w:ilvl="0" w:tplc="D7B4BD50">
      <w:start w:val="1"/>
      <w:numFmt w:val="bullet"/>
      <w:lvlText w:val=""/>
      <w:lvlJc w:val="left"/>
      <w:pPr>
        <w:ind w:left="1712" w:hanging="360"/>
      </w:pPr>
      <w:rPr>
        <w:rFonts w:ascii="Symbol" w:hAnsi="Symbol" w:hint="default"/>
        <w:color w:val="auto"/>
        <w:sz w:val="20"/>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7" w15:restartNumberingAfterBreak="0">
    <w:nsid w:val="302539A2"/>
    <w:multiLevelType w:val="hybridMultilevel"/>
    <w:tmpl w:val="8E968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66979"/>
    <w:multiLevelType w:val="hybridMultilevel"/>
    <w:tmpl w:val="3296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E5379"/>
    <w:multiLevelType w:val="hybridMultilevel"/>
    <w:tmpl w:val="2E38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EB7069"/>
    <w:multiLevelType w:val="hybridMultilevel"/>
    <w:tmpl w:val="7BDAF30C"/>
    <w:lvl w:ilvl="0" w:tplc="85548B9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3AB060B"/>
    <w:multiLevelType w:val="hybridMultilevel"/>
    <w:tmpl w:val="253A7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F3D90"/>
    <w:multiLevelType w:val="hybridMultilevel"/>
    <w:tmpl w:val="2050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6F2D37"/>
    <w:multiLevelType w:val="hybridMultilevel"/>
    <w:tmpl w:val="B306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92888"/>
    <w:multiLevelType w:val="hybridMultilevel"/>
    <w:tmpl w:val="51A0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274100"/>
    <w:multiLevelType w:val="hybridMultilevel"/>
    <w:tmpl w:val="BEA2D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292A24"/>
    <w:multiLevelType w:val="hybridMultilevel"/>
    <w:tmpl w:val="C0180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2"/>
  </w:num>
  <w:num w:numId="4">
    <w:abstractNumId w:val="8"/>
  </w:num>
  <w:num w:numId="5">
    <w:abstractNumId w:val="14"/>
  </w:num>
  <w:num w:numId="6">
    <w:abstractNumId w:val="9"/>
  </w:num>
  <w:num w:numId="7">
    <w:abstractNumId w:val="15"/>
  </w:num>
  <w:num w:numId="8">
    <w:abstractNumId w:val="0"/>
  </w:num>
  <w:num w:numId="9">
    <w:abstractNumId w:val="6"/>
  </w:num>
  <w:num w:numId="10">
    <w:abstractNumId w:val="11"/>
  </w:num>
  <w:num w:numId="11">
    <w:abstractNumId w:val="1"/>
  </w:num>
  <w:num w:numId="12">
    <w:abstractNumId w:val="13"/>
  </w:num>
  <w:num w:numId="13">
    <w:abstractNumId w:val="7"/>
  </w:num>
  <w:num w:numId="14">
    <w:abstractNumId w:val="16"/>
  </w:num>
  <w:num w:numId="15">
    <w:abstractNumId w:val="5"/>
  </w:num>
  <w:num w:numId="16">
    <w:abstractNumId w:val="4"/>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DF"/>
    <w:rsid w:val="00033E55"/>
    <w:rsid w:val="00036FFE"/>
    <w:rsid w:val="00045B3B"/>
    <w:rsid w:val="000505EF"/>
    <w:rsid w:val="00060965"/>
    <w:rsid w:val="0007404B"/>
    <w:rsid w:val="00082961"/>
    <w:rsid w:val="00091C63"/>
    <w:rsid w:val="000968B2"/>
    <w:rsid w:val="000B4C12"/>
    <w:rsid w:val="000D03BE"/>
    <w:rsid w:val="000D266F"/>
    <w:rsid w:val="000D4C86"/>
    <w:rsid w:val="000E3BAC"/>
    <w:rsid w:val="000E5847"/>
    <w:rsid w:val="00107BD7"/>
    <w:rsid w:val="00125D1C"/>
    <w:rsid w:val="00136C21"/>
    <w:rsid w:val="00160746"/>
    <w:rsid w:val="001957E8"/>
    <w:rsid w:val="00196525"/>
    <w:rsid w:val="001A1557"/>
    <w:rsid w:val="001B3EDF"/>
    <w:rsid w:val="001C671A"/>
    <w:rsid w:val="001D23B1"/>
    <w:rsid w:val="001F1A6B"/>
    <w:rsid w:val="002106DE"/>
    <w:rsid w:val="00222A85"/>
    <w:rsid w:val="0022426F"/>
    <w:rsid w:val="00231E04"/>
    <w:rsid w:val="00234581"/>
    <w:rsid w:val="00236AC1"/>
    <w:rsid w:val="00247F91"/>
    <w:rsid w:val="00264EA5"/>
    <w:rsid w:val="002655BD"/>
    <w:rsid w:val="00285ED0"/>
    <w:rsid w:val="00295029"/>
    <w:rsid w:val="002A3ACA"/>
    <w:rsid w:val="002D46EE"/>
    <w:rsid w:val="002D6E4F"/>
    <w:rsid w:val="002F4B97"/>
    <w:rsid w:val="00303437"/>
    <w:rsid w:val="00303553"/>
    <w:rsid w:val="003046D7"/>
    <w:rsid w:val="00354FCA"/>
    <w:rsid w:val="003644D5"/>
    <w:rsid w:val="00375035"/>
    <w:rsid w:val="00375527"/>
    <w:rsid w:val="00380A01"/>
    <w:rsid w:val="003971A5"/>
    <w:rsid w:val="003B56DC"/>
    <w:rsid w:val="003E6C59"/>
    <w:rsid w:val="003F002C"/>
    <w:rsid w:val="003F6852"/>
    <w:rsid w:val="00402F42"/>
    <w:rsid w:val="00403022"/>
    <w:rsid w:val="00406A17"/>
    <w:rsid w:val="004161EC"/>
    <w:rsid w:val="0043073A"/>
    <w:rsid w:val="004408F5"/>
    <w:rsid w:val="00442D2D"/>
    <w:rsid w:val="00444856"/>
    <w:rsid w:val="00464094"/>
    <w:rsid w:val="004724F5"/>
    <w:rsid w:val="0047630D"/>
    <w:rsid w:val="004815C5"/>
    <w:rsid w:val="00491B3B"/>
    <w:rsid w:val="00495AB6"/>
    <w:rsid w:val="004A0713"/>
    <w:rsid w:val="004A3185"/>
    <w:rsid w:val="004A4207"/>
    <w:rsid w:val="004D2641"/>
    <w:rsid w:val="004D2D7E"/>
    <w:rsid w:val="004E128C"/>
    <w:rsid w:val="004F0836"/>
    <w:rsid w:val="00502C1C"/>
    <w:rsid w:val="005057BE"/>
    <w:rsid w:val="0051309F"/>
    <w:rsid w:val="00525ECC"/>
    <w:rsid w:val="0052664B"/>
    <w:rsid w:val="00531AC4"/>
    <w:rsid w:val="00531ED9"/>
    <w:rsid w:val="00541F81"/>
    <w:rsid w:val="0054626B"/>
    <w:rsid w:val="00575A74"/>
    <w:rsid w:val="005909A9"/>
    <w:rsid w:val="005B2733"/>
    <w:rsid w:val="005B2BCE"/>
    <w:rsid w:val="005D32AA"/>
    <w:rsid w:val="00601A2E"/>
    <w:rsid w:val="006041D1"/>
    <w:rsid w:val="0060772A"/>
    <w:rsid w:val="00610724"/>
    <w:rsid w:val="00623597"/>
    <w:rsid w:val="00625A1B"/>
    <w:rsid w:val="00633C4E"/>
    <w:rsid w:val="00650F73"/>
    <w:rsid w:val="00651FB3"/>
    <w:rsid w:val="006536C8"/>
    <w:rsid w:val="00656C93"/>
    <w:rsid w:val="006604C7"/>
    <w:rsid w:val="00691331"/>
    <w:rsid w:val="006958B6"/>
    <w:rsid w:val="006F0845"/>
    <w:rsid w:val="00700868"/>
    <w:rsid w:val="00707203"/>
    <w:rsid w:val="00715D90"/>
    <w:rsid w:val="00720BD7"/>
    <w:rsid w:val="0074012F"/>
    <w:rsid w:val="007452AA"/>
    <w:rsid w:val="00745BA6"/>
    <w:rsid w:val="007523E3"/>
    <w:rsid w:val="007564B1"/>
    <w:rsid w:val="00760BDF"/>
    <w:rsid w:val="00787223"/>
    <w:rsid w:val="00797C1C"/>
    <w:rsid w:val="007E55F2"/>
    <w:rsid w:val="007E6022"/>
    <w:rsid w:val="007F2242"/>
    <w:rsid w:val="007F7132"/>
    <w:rsid w:val="00825F8B"/>
    <w:rsid w:val="00831233"/>
    <w:rsid w:val="0086118F"/>
    <w:rsid w:val="00871A41"/>
    <w:rsid w:val="00886274"/>
    <w:rsid w:val="008B2D33"/>
    <w:rsid w:val="008D57D7"/>
    <w:rsid w:val="008E0795"/>
    <w:rsid w:val="008E3387"/>
    <w:rsid w:val="009002F7"/>
    <w:rsid w:val="0090463A"/>
    <w:rsid w:val="00907640"/>
    <w:rsid w:val="00911773"/>
    <w:rsid w:val="00935D9F"/>
    <w:rsid w:val="009460D5"/>
    <w:rsid w:val="00952367"/>
    <w:rsid w:val="0096302C"/>
    <w:rsid w:val="00963077"/>
    <w:rsid w:val="00964F96"/>
    <w:rsid w:val="0098062A"/>
    <w:rsid w:val="00984437"/>
    <w:rsid w:val="00993A42"/>
    <w:rsid w:val="009A01D6"/>
    <w:rsid w:val="009D05E7"/>
    <w:rsid w:val="009D201A"/>
    <w:rsid w:val="009D27C4"/>
    <w:rsid w:val="009D51E8"/>
    <w:rsid w:val="009F2578"/>
    <w:rsid w:val="00A0248A"/>
    <w:rsid w:val="00A341CA"/>
    <w:rsid w:val="00A526F5"/>
    <w:rsid w:val="00A603A5"/>
    <w:rsid w:val="00A8264C"/>
    <w:rsid w:val="00AA4864"/>
    <w:rsid w:val="00AC7BA8"/>
    <w:rsid w:val="00AD4E06"/>
    <w:rsid w:val="00AE7833"/>
    <w:rsid w:val="00AF37B3"/>
    <w:rsid w:val="00B12C2D"/>
    <w:rsid w:val="00B134EA"/>
    <w:rsid w:val="00B25B74"/>
    <w:rsid w:val="00B32768"/>
    <w:rsid w:val="00B3550C"/>
    <w:rsid w:val="00B472C0"/>
    <w:rsid w:val="00B513A4"/>
    <w:rsid w:val="00B57B52"/>
    <w:rsid w:val="00B61134"/>
    <w:rsid w:val="00B74E8F"/>
    <w:rsid w:val="00B7752D"/>
    <w:rsid w:val="00B94C0C"/>
    <w:rsid w:val="00BA37A2"/>
    <w:rsid w:val="00BA7467"/>
    <w:rsid w:val="00BD5F21"/>
    <w:rsid w:val="00BF27AC"/>
    <w:rsid w:val="00C03EB9"/>
    <w:rsid w:val="00C145C3"/>
    <w:rsid w:val="00C24023"/>
    <w:rsid w:val="00C3344F"/>
    <w:rsid w:val="00C344C0"/>
    <w:rsid w:val="00C4380A"/>
    <w:rsid w:val="00C614E1"/>
    <w:rsid w:val="00C65E46"/>
    <w:rsid w:val="00C77E96"/>
    <w:rsid w:val="00CA71B0"/>
    <w:rsid w:val="00CB2F9A"/>
    <w:rsid w:val="00CC1911"/>
    <w:rsid w:val="00CF3796"/>
    <w:rsid w:val="00D14B6F"/>
    <w:rsid w:val="00D220E9"/>
    <w:rsid w:val="00D238C8"/>
    <w:rsid w:val="00D279CD"/>
    <w:rsid w:val="00D54BE5"/>
    <w:rsid w:val="00D63C86"/>
    <w:rsid w:val="00D854B1"/>
    <w:rsid w:val="00D939D0"/>
    <w:rsid w:val="00DA0155"/>
    <w:rsid w:val="00DB6680"/>
    <w:rsid w:val="00DC5DD4"/>
    <w:rsid w:val="00DF0283"/>
    <w:rsid w:val="00E20709"/>
    <w:rsid w:val="00E6097F"/>
    <w:rsid w:val="00E62B0B"/>
    <w:rsid w:val="00EA3171"/>
    <w:rsid w:val="00ED1808"/>
    <w:rsid w:val="00ED7E33"/>
    <w:rsid w:val="00EE36BD"/>
    <w:rsid w:val="00EE66E2"/>
    <w:rsid w:val="00EF1C62"/>
    <w:rsid w:val="00EF22E8"/>
    <w:rsid w:val="00F23E5B"/>
    <w:rsid w:val="00F243F6"/>
    <w:rsid w:val="00F3218D"/>
    <w:rsid w:val="00F43F2E"/>
    <w:rsid w:val="00F46031"/>
    <w:rsid w:val="00F53B17"/>
    <w:rsid w:val="00F64196"/>
    <w:rsid w:val="00F661CB"/>
    <w:rsid w:val="00F90C5C"/>
    <w:rsid w:val="00F948B9"/>
    <w:rsid w:val="00FA0CF1"/>
    <w:rsid w:val="00FA1C6A"/>
    <w:rsid w:val="00FB06C6"/>
    <w:rsid w:val="00FB45B3"/>
    <w:rsid w:val="00FC1DB1"/>
    <w:rsid w:val="00FD64A6"/>
    <w:rsid w:val="00FE50F3"/>
    <w:rsid w:val="00FE7F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75B7"/>
  <w15:docId w15:val="{DD410B28-E647-4B5A-B41A-ED4A6E51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0C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90C5C"/>
    <w:pPr>
      <w:spacing w:before="100" w:beforeAutospacing="1" w:after="100" w:afterAutospacing="1" w:line="240" w:lineRule="auto"/>
      <w:outlineLvl w:val="1"/>
    </w:pPr>
    <w:rPr>
      <w:rFonts w:ascii="Calibri" w:eastAsia="Times New Roman" w:hAnsi="Calibri" w:cs="Calibri"/>
      <w:b/>
      <w:bCs/>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223"/>
    <w:rPr>
      <w:rFonts w:ascii="Tahoma" w:hAnsi="Tahoma" w:cs="Tahoma"/>
      <w:sz w:val="16"/>
      <w:szCs w:val="16"/>
    </w:rPr>
  </w:style>
  <w:style w:type="paragraph" w:styleId="Title">
    <w:name w:val="Title"/>
    <w:basedOn w:val="Normal"/>
    <w:next w:val="Normal"/>
    <w:link w:val="TitleChar"/>
    <w:uiPriority w:val="10"/>
    <w:qFormat/>
    <w:rsid w:val="00495A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495AB6"/>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495AB6"/>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495AB6"/>
    <w:rPr>
      <w:rFonts w:asciiTheme="majorHAnsi" w:eastAsiaTheme="majorEastAsia" w:hAnsiTheme="majorHAnsi" w:cstheme="majorBidi"/>
      <w:i/>
      <w:iCs/>
      <w:color w:val="4F81BD" w:themeColor="accent1"/>
      <w:spacing w:val="15"/>
      <w:sz w:val="24"/>
      <w:szCs w:val="24"/>
      <w:lang w:val="en-US" w:eastAsia="ja-JP"/>
    </w:rPr>
  </w:style>
  <w:style w:type="paragraph" w:styleId="ListParagraph">
    <w:name w:val="List Paragraph"/>
    <w:basedOn w:val="Normal"/>
    <w:uiPriority w:val="34"/>
    <w:qFormat/>
    <w:rsid w:val="00045B3B"/>
    <w:pPr>
      <w:ind w:left="720"/>
      <w:contextualSpacing/>
    </w:pPr>
  </w:style>
  <w:style w:type="character" w:customStyle="1" w:styleId="apple-converted-space">
    <w:name w:val="apple-converted-space"/>
    <w:basedOn w:val="DefaultParagraphFont"/>
    <w:uiPriority w:val="99"/>
    <w:rsid w:val="005B2733"/>
    <w:rPr>
      <w:rFonts w:cs="Times New Roman"/>
    </w:rPr>
  </w:style>
  <w:style w:type="character" w:styleId="Hyperlink">
    <w:name w:val="Hyperlink"/>
    <w:basedOn w:val="DefaultParagraphFont"/>
    <w:uiPriority w:val="99"/>
    <w:rsid w:val="005B2733"/>
    <w:rPr>
      <w:rFonts w:cs="Times New Roman"/>
      <w:color w:val="0000FF"/>
      <w:u w:val="single"/>
    </w:rPr>
  </w:style>
  <w:style w:type="paragraph" w:styleId="Header">
    <w:name w:val="header"/>
    <w:basedOn w:val="Normal"/>
    <w:link w:val="HeaderChar"/>
    <w:uiPriority w:val="99"/>
    <w:unhideWhenUsed/>
    <w:rsid w:val="00EA3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171"/>
  </w:style>
  <w:style w:type="paragraph" w:styleId="Footer">
    <w:name w:val="footer"/>
    <w:basedOn w:val="Normal"/>
    <w:link w:val="FooterChar"/>
    <w:uiPriority w:val="99"/>
    <w:unhideWhenUsed/>
    <w:rsid w:val="00EA3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171"/>
  </w:style>
  <w:style w:type="paragraph" w:customStyle="1" w:styleId="Default">
    <w:name w:val="Default"/>
    <w:rsid w:val="00091C6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90C5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90C5C"/>
    <w:rPr>
      <w:rFonts w:ascii="Calibri" w:eastAsia="Times New Roman" w:hAnsi="Calibri" w:cs="Calibri"/>
      <w:b/>
      <w:bCs/>
      <w:sz w:val="32"/>
      <w:szCs w:val="32"/>
      <w:lang w:eastAsia="en-GB"/>
    </w:rPr>
  </w:style>
  <w:style w:type="paragraph" w:styleId="NormalWeb">
    <w:name w:val="Normal (Web)"/>
    <w:basedOn w:val="Normal"/>
    <w:uiPriority w:val="99"/>
    <w:semiHidden/>
    <w:unhideWhenUsed/>
    <w:rsid w:val="00F90C5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B3EDF"/>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1A6B"/>
    <w:rPr>
      <w:color w:val="800080" w:themeColor="followedHyperlink"/>
      <w:u w:val="single"/>
    </w:rPr>
  </w:style>
  <w:style w:type="character" w:styleId="CommentReference">
    <w:name w:val="annotation reference"/>
    <w:basedOn w:val="DefaultParagraphFont"/>
    <w:uiPriority w:val="99"/>
    <w:semiHidden/>
    <w:unhideWhenUsed/>
    <w:rsid w:val="00442D2D"/>
    <w:rPr>
      <w:sz w:val="16"/>
      <w:szCs w:val="16"/>
    </w:rPr>
  </w:style>
  <w:style w:type="paragraph" w:styleId="CommentText">
    <w:name w:val="annotation text"/>
    <w:basedOn w:val="Normal"/>
    <w:link w:val="CommentTextChar"/>
    <w:uiPriority w:val="99"/>
    <w:semiHidden/>
    <w:unhideWhenUsed/>
    <w:rsid w:val="00442D2D"/>
    <w:pPr>
      <w:spacing w:line="240" w:lineRule="auto"/>
    </w:pPr>
    <w:rPr>
      <w:sz w:val="20"/>
      <w:szCs w:val="20"/>
    </w:rPr>
  </w:style>
  <w:style w:type="character" w:customStyle="1" w:styleId="CommentTextChar">
    <w:name w:val="Comment Text Char"/>
    <w:basedOn w:val="DefaultParagraphFont"/>
    <w:link w:val="CommentText"/>
    <w:uiPriority w:val="99"/>
    <w:semiHidden/>
    <w:rsid w:val="00442D2D"/>
    <w:rPr>
      <w:sz w:val="20"/>
      <w:szCs w:val="20"/>
    </w:rPr>
  </w:style>
  <w:style w:type="paragraph" w:styleId="CommentSubject">
    <w:name w:val="annotation subject"/>
    <w:basedOn w:val="CommentText"/>
    <w:next w:val="CommentText"/>
    <w:link w:val="CommentSubjectChar"/>
    <w:uiPriority w:val="99"/>
    <w:semiHidden/>
    <w:unhideWhenUsed/>
    <w:rsid w:val="00442D2D"/>
    <w:rPr>
      <w:b/>
      <w:bCs/>
    </w:rPr>
  </w:style>
  <w:style w:type="character" w:customStyle="1" w:styleId="CommentSubjectChar">
    <w:name w:val="Comment Subject Char"/>
    <w:basedOn w:val="CommentTextChar"/>
    <w:link w:val="CommentSubject"/>
    <w:uiPriority w:val="99"/>
    <w:semiHidden/>
    <w:rsid w:val="00442D2D"/>
    <w:rPr>
      <w:b/>
      <w:bCs/>
      <w:sz w:val="20"/>
      <w:szCs w:val="20"/>
    </w:rPr>
  </w:style>
  <w:style w:type="paragraph" w:customStyle="1" w:styleId="CfPS">
    <w:name w:val="CfPS"/>
    <w:basedOn w:val="Normal"/>
    <w:rsid w:val="00303437"/>
    <w:pPr>
      <w:spacing w:after="0" w:line="240" w:lineRule="auto"/>
    </w:pPr>
    <w:rPr>
      <w:rFonts w:ascii="Helvetica Neue" w:eastAsia="Lucida Sans Unicode" w:hAnsi="Helvetica Neu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2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rwickshire-pcc.gov.uk/your-pcc/holding-the-police-to-accoun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warwickshire-pcc.gov.uk/key-information/your-right-to-information/publication-scheme/policies-and-procedures/joint-corporate-governance-framework-august-2017-fin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warwickshire-pcc.gov.uk/your-pcc/decision-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Office of the Police and Crime Commissioner for Warwickshire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27BF9E-EA65-48E3-A6EE-7BEA34D0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F50C4B07</Template>
  <TotalTime>0</TotalTime>
  <Pages>12</Pages>
  <Words>2684</Words>
  <Characters>15303</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code of conduct for opcc staff</vt:lpstr>
    </vt:vector>
  </TitlesOfParts>
  <Company>Warwickshire County Council</Company>
  <LinksUpToDate>false</LinksUpToDate>
  <CharactersWithSpaces>17952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opcc staff</dc:title>
  <dc:creator>Neil Tipton</dc:creator>
  <cp:lastModifiedBy>23006559</cp:lastModifiedBy>
  <cp:revision>2</cp:revision>
  <cp:lastPrinted>2019-11-26T10:11:00Z</cp:lastPrinted>
  <dcterms:created xsi:type="dcterms:W3CDTF">2020-05-01T14:51:00Z</dcterms:created>
  <dcterms:modified xsi:type="dcterms:W3CDTF">2020-05-01T14:51:00Z</dcterms:modified>
</cp:coreProperties>
</file>